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8B38" w14:textId="62FD184F" w:rsidR="00032303" w:rsidRDefault="00E43BD9" w:rsidP="00E43BD9">
      <w:pPr>
        <w:pStyle w:val="Title"/>
        <w:suppressAutoHyphens/>
        <w:rPr>
          <w:rFonts w:ascii="Arial" w:eastAsia="Arial" w:hAnsi="Arial" w:cs="Arial"/>
        </w:rPr>
      </w:pPr>
      <w:r>
        <w:rPr>
          <w:noProof/>
        </w:rPr>
        <w:drawing>
          <wp:inline distT="0" distB="0" distL="0" distR="0" wp14:anchorId="36E008EE" wp14:editId="4BC3701F">
            <wp:extent cx="5935345" cy="669290"/>
            <wp:effectExtent l="0" t="0" r="8255" b="0"/>
            <wp:docPr id="1" name="Picture 1" descr="RESEMBID Letterhead_Options_7_FINA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SEMBID Letterhead_Options_7_FINAL_Header.jpg"/>
                    <pic:cNvPicPr>
                      <a:picLocks noChangeAspect="1"/>
                    </pic:cNvPicPr>
                  </pic:nvPicPr>
                  <pic:blipFill rotWithShape="1">
                    <a:blip r:embed="rId8" cstate="print">
                      <a:extLst>
                        <a:ext uri="{28A0092B-C50C-407E-A947-70E740481C1C}">
                          <a14:useLocalDpi xmlns:a14="http://schemas.microsoft.com/office/drawing/2010/main" val="0"/>
                        </a:ext>
                      </a:extLst>
                    </a:blip>
                    <a:srcRect t="34080" b="9249"/>
                    <a:stretch/>
                  </pic:blipFill>
                  <pic:spPr bwMode="auto">
                    <a:xfrm>
                      <a:off x="0" y="0"/>
                      <a:ext cx="5935345" cy="669290"/>
                    </a:xfrm>
                    <a:prstGeom prst="rect">
                      <a:avLst/>
                    </a:prstGeom>
                    <a:noFill/>
                    <a:ln>
                      <a:noFill/>
                    </a:ln>
                    <a:extLst>
                      <a:ext uri="{53640926-AAD7-44D8-BBD7-CCE9431645EC}">
                        <a14:shadowObscured xmlns:a14="http://schemas.microsoft.com/office/drawing/2010/main"/>
                      </a:ext>
                    </a:extLst>
                  </pic:spPr>
                </pic:pic>
              </a:graphicData>
            </a:graphic>
          </wp:inline>
        </w:drawing>
      </w:r>
    </w:p>
    <w:p w14:paraId="4224D336" w14:textId="77777777" w:rsidR="00032303" w:rsidRPr="001D5FFE" w:rsidRDefault="00032303">
      <w:pPr>
        <w:pStyle w:val="Title"/>
        <w:suppressAutoHyphens/>
        <w:ind w:left="1985"/>
        <w:jc w:val="center"/>
        <w:rPr>
          <w:rFonts w:ascii="Arial" w:eastAsia="Arial" w:hAnsi="Arial" w:cs="Arial"/>
          <w:lang w:val="en-GB"/>
        </w:rPr>
      </w:pPr>
    </w:p>
    <w:p w14:paraId="19C79FBA" w14:textId="77777777" w:rsidR="00032303" w:rsidRPr="001D5FFE" w:rsidRDefault="00965302">
      <w:pPr>
        <w:pStyle w:val="BodyA"/>
        <w:suppressAutoHyphens/>
        <w:jc w:val="center"/>
        <w:rPr>
          <w:b/>
          <w:bCs/>
          <w:color w:val="002060"/>
          <w:spacing w:val="-4"/>
          <w:kern w:val="28"/>
          <w:sz w:val="24"/>
          <w:szCs w:val="24"/>
          <w:u w:color="276E8B"/>
          <w:lang w:val="en-GB"/>
        </w:rPr>
      </w:pPr>
      <w:r w:rsidRPr="001D5FFE">
        <w:rPr>
          <w:b/>
          <w:bCs/>
          <w:color w:val="002060"/>
          <w:spacing w:val="-4"/>
          <w:kern w:val="28"/>
          <w:sz w:val="24"/>
          <w:szCs w:val="24"/>
          <w:u w:color="276E8B"/>
          <w:lang w:val="en-GB"/>
        </w:rPr>
        <w:t>COMMUNICATION AND VISIBILITY (C&amp;V) GUIDELINES – GRANT CONTRACTS</w:t>
      </w:r>
    </w:p>
    <w:p w14:paraId="1A4765A2" w14:textId="77777777" w:rsidR="00032303" w:rsidRPr="001D5FFE" w:rsidRDefault="00032303">
      <w:pPr>
        <w:pStyle w:val="BodyA"/>
        <w:suppressAutoHyphens/>
        <w:rPr>
          <w:lang w:val="en-GB"/>
        </w:rPr>
      </w:pPr>
    </w:p>
    <w:p w14:paraId="4012C122" w14:textId="1C96737C" w:rsidR="00032303" w:rsidRPr="001D5FFE" w:rsidRDefault="00965302">
      <w:pPr>
        <w:pStyle w:val="Heading"/>
        <w:suppressAutoHyphens/>
        <w:rPr>
          <w:rFonts w:cs="Arial"/>
          <w:color w:val="002060"/>
          <w:lang w:val="en-GB"/>
        </w:rPr>
      </w:pPr>
      <w:r w:rsidRPr="001D5FFE">
        <w:rPr>
          <w:rFonts w:cs="Arial"/>
          <w:color w:val="002060"/>
          <w:lang w:val="en-GB"/>
        </w:rPr>
        <w:t>Introduction</w:t>
      </w:r>
    </w:p>
    <w:p w14:paraId="52D90D0D" w14:textId="77777777" w:rsidR="001D0840" w:rsidRPr="001D5FFE" w:rsidRDefault="001D0840" w:rsidP="00FC60CB">
      <w:pPr>
        <w:pStyle w:val="BodyA"/>
        <w:rPr>
          <w:lang w:val="en-GB"/>
        </w:rPr>
      </w:pPr>
    </w:p>
    <w:p w14:paraId="2A88018E" w14:textId="77777777" w:rsidR="00032303" w:rsidRPr="001D5FFE" w:rsidRDefault="00965302">
      <w:pPr>
        <w:pStyle w:val="BodyA"/>
        <w:suppressAutoHyphens/>
        <w:rPr>
          <w:lang w:val="en-GB"/>
        </w:rPr>
      </w:pPr>
      <w:r w:rsidRPr="001D5FFE">
        <w:rPr>
          <w:lang w:val="en-GB"/>
        </w:rPr>
        <w:t xml:space="preserve">The Resilience, Sustainable Energy, and Marine Biodiversity Programme for Caribbean Overseas Countries and Territories (hereinafter: the Programme) is a project funded by European Union (EU) and implemented by Expertise France in collaboration with the Global Facility for Disaster Reduction and Recovery (GFDRR). </w:t>
      </w:r>
    </w:p>
    <w:p w14:paraId="3EB07403" w14:textId="77777777" w:rsidR="00032303" w:rsidRPr="001D5FFE" w:rsidRDefault="00965302">
      <w:pPr>
        <w:pStyle w:val="BodyA"/>
        <w:suppressAutoHyphens/>
        <w:rPr>
          <w:lang w:val="en-GB"/>
        </w:rPr>
      </w:pPr>
      <w:r w:rsidRPr="001D5FFE">
        <w:rPr>
          <w:lang w:val="en-GB"/>
        </w:rPr>
        <w:t xml:space="preserve">The overall objective of the RESEMBID Programme is to strengthen environmentally sustainable human development in the Caribbean Overseas Countries and Territories (OCTs). </w:t>
      </w:r>
    </w:p>
    <w:p w14:paraId="125F5F40" w14:textId="77777777" w:rsidR="00032303" w:rsidRPr="001D5FFE" w:rsidRDefault="00965302">
      <w:pPr>
        <w:pStyle w:val="BodyA"/>
        <w:suppressAutoHyphens/>
        <w:rPr>
          <w:lang w:val="en-GB"/>
        </w:rPr>
      </w:pPr>
      <w:r w:rsidRPr="001D5FFE">
        <w:rPr>
          <w:lang w:val="en-GB"/>
        </w:rPr>
        <w:t xml:space="preserve">The Programme is being implemented in twelve Caribbean Overseas Countries and Territories (OCTs): Anguilla, Aruba, Bonaire, British Virgin Islands, Cayman Islands, Curaçao, Montserrat, Turks and Caicos Islands, Saba, Saint-Barthélemy, Sint Eustatius and Sint Maarten. </w:t>
      </w:r>
    </w:p>
    <w:p w14:paraId="3BB98543" w14:textId="77777777" w:rsidR="00965302" w:rsidRPr="001D5FFE" w:rsidRDefault="00965302">
      <w:pPr>
        <w:pStyle w:val="BodyA"/>
        <w:suppressAutoHyphens/>
        <w:rPr>
          <w:lang w:val="en-GB"/>
        </w:rPr>
      </w:pPr>
    </w:p>
    <w:p w14:paraId="6FD5CAA7" w14:textId="4F16E0C3" w:rsidR="00032303" w:rsidRPr="001D5FFE" w:rsidRDefault="00965302">
      <w:pPr>
        <w:pStyle w:val="BodyA"/>
        <w:suppressAutoHyphens/>
        <w:rPr>
          <w:lang w:val="en-GB"/>
        </w:rPr>
      </w:pPr>
      <w:r w:rsidRPr="001D5FFE">
        <w:rPr>
          <w:lang w:val="en-GB"/>
        </w:rPr>
        <w:t>It is expected that RESEMBID will, in the long-term, contribute to the environmentally sustainable human development of the 12 OCTs by realising the following outcomes linked to three component areas:</w:t>
      </w:r>
    </w:p>
    <w:p w14:paraId="75516830" w14:textId="77777777" w:rsidR="00965302" w:rsidRPr="001D5FFE" w:rsidRDefault="00965302">
      <w:pPr>
        <w:pStyle w:val="BodyA"/>
        <w:suppressAutoHyphens/>
        <w:rPr>
          <w:b/>
          <w:bCs/>
          <w:lang w:val="en-GB"/>
        </w:rPr>
      </w:pPr>
    </w:p>
    <w:p w14:paraId="26E388CD" w14:textId="6326AF4C" w:rsidR="00F52E62" w:rsidRPr="001D5FFE" w:rsidRDefault="00F52E62" w:rsidP="00F52E62">
      <w:pPr>
        <w:pStyle w:val="BodyA"/>
        <w:numPr>
          <w:ilvl w:val="0"/>
          <w:numId w:val="17"/>
        </w:numPr>
        <w:suppressAutoHyphens/>
      </w:pPr>
      <w:r w:rsidRPr="001D5FFE">
        <w:rPr>
          <w:b/>
          <w:bCs/>
        </w:rPr>
        <w:t xml:space="preserve">Marine Biodiversity </w:t>
      </w:r>
      <w:r w:rsidRPr="001D5FFE">
        <w:t>– improving protection and sustainable Management of the OCTs Marine Biodiversity. This component aims to protect and conserve the marine ecosystems of the 12 OCTs. To do this RESEMBID is working with the OCT governments and their stakeholders to implement projects under five areas – Marine Ecosystem conservation, Sustainable Fisheries, Marine Protected Areas Management, Sustainable Finance and the Blue Economy and Environmental Education.</w:t>
      </w:r>
    </w:p>
    <w:p w14:paraId="5E1FDF48" w14:textId="77777777" w:rsidR="00F52E62" w:rsidRPr="001D5FFE" w:rsidRDefault="00F52E62" w:rsidP="00F52E62">
      <w:pPr>
        <w:pStyle w:val="BodyA"/>
        <w:suppressAutoHyphens/>
        <w:ind w:left="720"/>
      </w:pPr>
    </w:p>
    <w:p w14:paraId="0203F85E" w14:textId="05EAD574" w:rsidR="00F52E62" w:rsidRPr="001D5FFE" w:rsidRDefault="00F52E62" w:rsidP="00F52E62">
      <w:pPr>
        <w:pStyle w:val="BodyA"/>
        <w:numPr>
          <w:ilvl w:val="0"/>
          <w:numId w:val="17"/>
        </w:numPr>
        <w:suppressAutoHyphens/>
      </w:pPr>
      <w:r w:rsidRPr="001D5FFE">
        <w:rPr>
          <w:b/>
          <w:bCs/>
        </w:rPr>
        <w:t xml:space="preserve">Resilience – </w:t>
      </w:r>
      <w:r w:rsidRPr="001D5FFE">
        <w:t xml:space="preserve">helping Caribbean OCTs to adapt to extreme and recurrent Natural Events. The capacity to cope with the effects of major natural extreme events is limited for most OCTs – this is primarily due to their small and vulnerable economic bases. In this regard, there is a need to reduce structural vulnerability and increase the resilience of economic infrastructure and fragile coastal ecosystems to extreme recurrent natural event. This is part of what the RESEMBID </w:t>
      </w:r>
      <w:proofErr w:type="spellStart"/>
      <w:r w:rsidRPr="001D5FFE">
        <w:t>programme</w:t>
      </w:r>
      <w:proofErr w:type="spellEnd"/>
      <w:r w:rsidRPr="001D5FFE">
        <w:t xml:space="preserve"> will focus on building.</w:t>
      </w:r>
    </w:p>
    <w:p w14:paraId="1D0B73C6" w14:textId="77777777" w:rsidR="00F52E62" w:rsidRPr="001D5FFE" w:rsidRDefault="00F52E62" w:rsidP="00F52E62">
      <w:pPr>
        <w:pStyle w:val="BodyA"/>
        <w:suppressAutoHyphens/>
        <w:ind w:left="720"/>
      </w:pPr>
    </w:p>
    <w:p w14:paraId="6D5BE418" w14:textId="77777777" w:rsidR="00F52E62" w:rsidRPr="001D5FFE" w:rsidRDefault="00F52E62" w:rsidP="00F52E62">
      <w:pPr>
        <w:pStyle w:val="BodyA"/>
        <w:numPr>
          <w:ilvl w:val="0"/>
          <w:numId w:val="17"/>
        </w:numPr>
        <w:suppressAutoHyphens/>
      </w:pPr>
      <w:r w:rsidRPr="001D5FFE">
        <w:rPr>
          <w:b/>
          <w:bCs/>
        </w:rPr>
        <w:t xml:space="preserve">Sustainable Energy </w:t>
      </w:r>
      <w:r w:rsidRPr="001D5FFE">
        <w:t xml:space="preserve">- The RESEMBID </w:t>
      </w:r>
      <w:proofErr w:type="spellStart"/>
      <w:r w:rsidRPr="001D5FFE">
        <w:t>programme</w:t>
      </w:r>
      <w:proofErr w:type="spellEnd"/>
      <w:r w:rsidRPr="001D5FFE">
        <w:t xml:space="preserve"> seeks to support the OCTs in their thrust to deliver resilient energy services to their respective local populations. This means increased capacity and competency of the people to use and maintain innovative technologies, whilst contributing to low carbon development locally and regionally. RESEMIBD, will provide substantive technical assistance through a myriad of channels including the provision of technical training in energy efficiency and renewable energy, the commissioning of feasibility studies and subsequent pilot and proof-of-concept projects in-country.</w:t>
      </w:r>
    </w:p>
    <w:p w14:paraId="0DE18DB9" w14:textId="77777777" w:rsidR="00032303" w:rsidRPr="001D5FFE" w:rsidRDefault="00032303" w:rsidP="00F52E62">
      <w:pPr>
        <w:pStyle w:val="BodyA"/>
        <w:suppressAutoHyphens/>
        <w:rPr>
          <w:lang w:val="en-GB"/>
        </w:rPr>
      </w:pPr>
    </w:p>
    <w:p w14:paraId="2106A95B" w14:textId="507FD379" w:rsidR="00032303" w:rsidRPr="001D5FFE" w:rsidRDefault="00965302" w:rsidP="00F52E62">
      <w:pPr>
        <w:pStyle w:val="BodyA"/>
        <w:suppressAutoHyphens/>
        <w:rPr>
          <w:lang w:val="en-GB"/>
        </w:rPr>
      </w:pPr>
      <w:r w:rsidRPr="001D5FFE">
        <w:rPr>
          <w:lang w:val="en-GB"/>
        </w:rPr>
        <w:t>The proposed activities related to Communication and Visibility (C&amp;V) are aimed at timely and accurate dissemination of information to all stakeholders in the Caribbean OCTs</w:t>
      </w:r>
      <w:r w:rsidR="00CF2B3A" w:rsidRPr="001D5FFE">
        <w:rPr>
          <w:lang w:val="en-GB"/>
        </w:rPr>
        <w:t xml:space="preserve"> </w:t>
      </w:r>
      <w:r w:rsidR="009F4D06" w:rsidRPr="001D5FFE">
        <w:rPr>
          <w:lang w:val="en-GB"/>
        </w:rPr>
        <w:t>that:</w:t>
      </w:r>
    </w:p>
    <w:p w14:paraId="179BD5E9" w14:textId="0AC40500" w:rsidR="00032303" w:rsidRPr="001D5FFE" w:rsidRDefault="00965302">
      <w:pPr>
        <w:pStyle w:val="ListParagraph"/>
        <w:numPr>
          <w:ilvl w:val="0"/>
          <w:numId w:val="8"/>
        </w:numPr>
        <w:suppressAutoHyphens/>
        <w:rPr>
          <w:rFonts w:cs="Arial"/>
          <w:lang w:val="en-GB"/>
        </w:rPr>
      </w:pPr>
      <w:r w:rsidRPr="001D5FFE">
        <w:rPr>
          <w:rFonts w:cs="Arial"/>
          <w:lang w:val="en-GB"/>
        </w:rPr>
        <w:t xml:space="preserve">the financial and technical assistance and continuous support provided to the OCTs through the RESEMBID </w:t>
      </w:r>
      <w:proofErr w:type="gramStart"/>
      <w:r w:rsidRPr="001D5FFE">
        <w:rPr>
          <w:rFonts w:cs="Arial"/>
          <w:lang w:val="en-GB"/>
        </w:rPr>
        <w:t>programme</w:t>
      </w:r>
      <w:proofErr w:type="gramEnd"/>
      <w:r w:rsidRPr="001D5FFE">
        <w:rPr>
          <w:rFonts w:cs="Arial"/>
          <w:lang w:val="en-GB"/>
        </w:rPr>
        <w:t xml:space="preserve"> which is funded, by the European Union, implemented by Expertise France and being implemented in partnership with the World Bank’s GFDRR </w:t>
      </w:r>
    </w:p>
    <w:p w14:paraId="506A1AEB" w14:textId="29DA03DD" w:rsidR="00032303" w:rsidRPr="001D5FFE" w:rsidRDefault="00965302">
      <w:pPr>
        <w:pStyle w:val="ListParagraph"/>
        <w:numPr>
          <w:ilvl w:val="0"/>
          <w:numId w:val="8"/>
        </w:numPr>
        <w:suppressAutoHyphens/>
        <w:rPr>
          <w:rFonts w:cs="Arial"/>
          <w:lang w:val="en-GB"/>
        </w:rPr>
      </w:pPr>
      <w:r w:rsidRPr="001D5FFE">
        <w:rPr>
          <w:rFonts w:cs="Arial"/>
          <w:lang w:val="en-GB"/>
        </w:rPr>
        <w:t xml:space="preserve">the approach that is at the core of RESEMBID’s operations: being driven by the needs and priorities of the OCTs while encouraging and facilitating their full participation from the creation of transformative ideas through to implementation of relevant, effective and sustainable projects. </w:t>
      </w:r>
    </w:p>
    <w:p w14:paraId="119789F5" w14:textId="7375A5B2" w:rsidR="00032303" w:rsidRPr="001D5FFE" w:rsidRDefault="00965302">
      <w:pPr>
        <w:pStyle w:val="ListParagraph"/>
        <w:numPr>
          <w:ilvl w:val="0"/>
          <w:numId w:val="9"/>
        </w:numPr>
        <w:suppressAutoHyphens/>
        <w:rPr>
          <w:rFonts w:cs="Arial"/>
          <w:lang w:val="en-GB"/>
        </w:rPr>
      </w:pPr>
      <w:r w:rsidRPr="001D5FFE">
        <w:rPr>
          <w:rFonts w:cs="Arial"/>
          <w:lang w:val="en-GB"/>
        </w:rPr>
        <w:t>at the heart of this Programme, is the belief that these transformative ideas and projects are not the property of the Programme, rather, RESEMBID is being afforded the opportunity to collaborate with and support the OCTs in leading their respective change processes.</w:t>
      </w:r>
    </w:p>
    <w:p w14:paraId="7D9434A5" w14:textId="77777777" w:rsidR="00032303" w:rsidRPr="001D5FFE" w:rsidRDefault="00032303">
      <w:pPr>
        <w:pStyle w:val="ListParagraph"/>
        <w:suppressAutoHyphens/>
        <w:ind w:left="0"/>
        <w:rPr>
          <w:rFonts w:cs="Arial"/>
          <w:lang w:val="en-GB"/>
        </w:rPr>
      </w:pPr>
    </w:p>
    <w:p w14:paraId="39B4AA6F" w14:textId="3084C637" w:rsidR="00032303" w:rsidRPr="001D5FFE" w:rsidRDefault="00965302">
      <w:pPr>
        <w:pStyle w:val="BodyA"/>
        <w:suppressAutoHyphens/>
        <w:rPr>
          <w:lang w:val="en-GB"/>
        </w:rPr>
      </w:pPr>
      <w:r w:rsidRPr="001D5FFE">
        <w:rPr>
          <w:lang w:val="en-GB"/>
        </w:rPr>
        <w:lastRenderedPageBreak/>
        <w:t>These Guidelines are created as the primary tool to be used by Grantees for communications and visibility (C&amp;V) related activities. They provide details on the requirements for C&amp;V during the implementation stage of grant contracts. The Guidelines compl</w:t>
      </w:r>
      <w:r w:rsidR="00CF2B3A" w:rsidRPr="001D5FFE">
        <w:rPr>
          <w:lang w:val="en-GB"/>
        </w:rPr>
        <w:t>e</w:t>
      </w:r>
      <w:r w:rsidRPr="001D5FFE">
        <w:rPr>
          <w:lang w:val="en-GB"/>
        </w:rPr>
        <w:t xml:space="preserve">ment the </w:t>
      </w:r>
      <w:hyperlink r:id="rId9" w:history="1">
        <w:r w:rsidRPr="001D5FFE">
          <w:rPr>
            <w:rStyle w:val="Hyperlink0"/>
            <w:lang w:val="en-GB"/>
          </w:rPr>
          <w:t>‘Communications and Visibility in EU-financed external actions’</w:t>
        </w:r>
      </w:hyperlink>
      <w:r w:rsidRPr="001D5FFE">
        <w:rPr>
          <w:rStyle w:val="None"/>
          <w:rFonts w:eastAsia="Calibri"/>
          <w:lang w:val="en-GB"/>
        </w:rPr>
        <w:t xml:space="preserve"> </w:t>
      </w:r>
      <w:r w:rsidRPr="001D5FFE">
        <w:rPr>
          <w:lang w:val="en-GB"/>
        </w:rPr>
        <w:t>(https://ec.europa.eu/international-partnerships/comm-visibility-requirements_en).</w:t>
      </w:r>
    </w:p>
    <w:p w14:paraId="62FB2DFA"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Programme Background </w:t>
      </w:r>
    </w:p>
    <w:p w14:paraId="591FBEDD"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Principals: </w:t>
      </w:r>
    </w:p>
    <w:p w14:paraId="31EA0578"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Donor - The European Union </w:t>
      </w:r>
    </w:p>
    <w:p w14:paraId="79E0969F" w14:textId="77777777" w:rsidR="00032303" w:rsidRPr="001D5FFE" w:rsidRDefault="00032303">
      <w:pPr>
        <w:pStyle w:val="Heading"/>
        <w:suppressAutoHyphens/>
        <w:rPr>
          <w:rStyle w:val="None"/>
          <w:rFonts w:cs="Arial"/>
          <w:b w:val="0"/>
          <w:bCs w:val="0"/>
          <w:color w:val="000000"/>
          <w:u w:color="000000"/>
          <w:lang w:val="en-GB"/>
        </w:rPr>
      </w:pPr>
    </w:p>
    <w:p w14:paraId="37FF3D49" w14:textId="77777777" w:rsidR="00032303" w:rsidRPr="001D5FFE" w:rsidRDefault="00965302">
      <w:pPr>
        <w:pStyle w:val="BodyA"/>
        <w:rPr>
          <w:lang w:val="en-GB"/>
        </w:rPr>
      </w:pPr>
      <w:r w:rsidRPr="001D5FFE">
        <w:rPr>
          <w:rFonts w:eastAsia="Arial Unicode MS"/>
          <w:lang w:val="en-GB"/>
        </w:rPr>
        <w:t>The Delegation of the European Union in Guyana is part of the European External Action Service (EEAS) and is one of the more than 140 Delegations of the European Union in the world.</w:t>
      </w:r>
    </w:p>
    <w:p w14:paraId="55DEE62C" w14:textId="77777777" w:rsidR="00032303" w:rsidRPr="001D5FFE" w:rsidRDefault="00965302">
      <w:pPr>
        <w:pStyle w:val="Heading"/>
        <w:suppressAutoHyphens/>
        <w:rPr>
          <w:rStyle w:val="None"/>
          <w:rFonts w:cs="Arial"/>
          <w:b w:val="0"/>
          <w:bCs w:val="0"/>
          <w:color w:val="000000"/>
          <w:u w:color="000000"/>
          <w:lang w:val="en-GB"/>
        </w:rPr>
      </w:pPr>
      <w:r w:rsidRPr="001D5FFE">
        <w:rPr>
          <w:rStyle w:val="None"/>
          <w:rFonts w:cs="Arial"/>
          <w:b w:val="0"/>
          <w:bCs w:val="0"/>
          <w:color w:val="000000"/>
          <w:u w:color="000000"/>
          <w:lang w:val="en-GB"/>
        </w:rPr>
        <w:t>The Delegation in Guyana was established in December 1972 following the signature of the First Lomé Convention.</w:t>
      </w:r>
    </w:p>
    <w:p w14:paraId="6330F8DA" w14:textId="77777777" w:rsidR="00032303" w:rsidRPr="001D5FFE" w:rsidRDefault="00965302">
      <w:pPr>
        <w:pStyle w:val="Heading"/>
        <w:suppressAutoHyphens/>
        <w:rPr>
          <w:rStyle w:val="None"/>
          <w:rFonts w:cs="Arial"/>
          <w:b w:val="0"/>
          <w:bCs w:val="0"/>
          <w:color w:val="000000"/>
          <w:u w:color="000000"/>
          <w:lang w:val="en-GB"/>
        </w:rPr>
      </w:pPr>
      <w:r w:rsidRPr="001D5FFE">
        <w:rPr>
          <w:rStyle w:val="None"/>
          <w:rFonts w:cs="Arial"/>
          <w:b w:val="0"/>
          <w:bCs w:val="0"/>
          <w:color w:val="000000"/>
          <w:u w:color="000000"/>
          <w:lang w:val="en-GB"/>
        </w:rPr>
        <w:t>The Delegation represents the European Union in all matters of its competence. It actively promotes the values and policies of the European Union, in an open and equal partnership with the Governments and people of the countries to which it is accredited. It plays a key role in the implementation of the EU’s cooperation programmes and trade policies focusing on poverty reduction and the smooth and gradual integration of the countries into the world economy.</w:t>
      </w:r>
    </w:p>
    <w:p w14:paraId="68C7BF59" w14:textId="77777777" w:rsidR="00032303" w:rsidRPr="001D5FFE" w:rsidRDefault="00032303">
      <w:pPr>
        <w:pStyle w:val="Heading"/>
        <w:suppressAutoHyphens/>
        <w:rPr>
          <w:rFonts w:cs="Arial"/>
          <w:lang w:val="en-GB"/>
        </w:rPr>
      </w:pPr>
    </w:p>
    <w:p w14:paraId="5204B8B6"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Implementing Partners </w:t>
      </w:r>
    </w:p>
    <w:p w14:paraId="1A2EEFDE" w14:textId="77777777" w:rsidR="00032303" w:rsidRPr="001D5FFE" w:rsidRDefault="00032303">
      <w:pPr>
        <w:pStyle w:val="BodyA"/>
        <w:rPr>
          <w:color w:val="002060"/>
          <w:lang w:val="en-GB"/>
        </w:rPr>
      </w:pPr>
    </w:p>
    <w:p w14:paraId="15B4D1A5" w14:textId="77777777" w:rsidR="00032303" w:rsidRPr="001D5FFE" w:rsidRDefault="00965302">
      <w:pPr>
        <w:pStyle w:val="Heading"/>
        <w:suppressAutoHyphens/>
        <w:rPr>
          <w:rFonts w:cs="Arial"/>
          <w:color w:val="002060"/>
          <w:lang w:val="en-GB"/>
        </w:rPr>
      </w:pPr>
      <w:r w:rsidRPr="001D5FFE">
        <w:rPr>
          <w:rFonts w:cs="Arial"/>
          <w:color w:val="002060"/>
          <w:lang w:val="en-GB"/>
        </w:rPr>
        <w:t>Expertise France</w:t>
      </w:r>
    </w:p>
    <w:p w14:paraId="54DB710B" w14:textId="77777777" w:rsidR="00032303" w:rsidRPr="001D5FFE" w:rsidRDefault="00965302">
      <w:pPr>
        <w:pStyle w:val="BodyA"/>
        <w:rPr>
          <w:lang w:val="en-GB"/>
        </w:rPr>
      </w:pPr>
      <w:r w:rsidRPr="001D5FFE">
        <w:rPr>
          <w:rFonts w:eastAsia="Arial Unicode MS"/>
          <w:lang w:val="en-GB"/>
        </w:rPr>
        <w:t>Expertise France is the French public international cooperation agency. It designs and implements projects which aim to contribute to the balanced development of partner countries, in line with the Sustainable Development Goals (SDGs) of the 2030 Agenda and the priorities of France’s external action. The agency’s mission is to meet the demand of partner countries seeking to enhance the quality of their public policies in order to address the environmental, social, economic and security challenges they are facing.</w:t>
      </w:r>
    </w:p>
    <w:p w14:paraId="018CA57E" w14:textId="77777777" w:rsidR="00032303" w:rsidRPr="001D5FFE" w:rsidRDefault="00032303">
      <w:pPr>
        <w:pStyle w:val="Heading"/>
        <w:suppressAutoHyphens/>
        <w:rPr>
          <w:rFonts w:cs="Arial"/>
          <w:lang w:val="en-GB"/>
        </w:rPr>
      </w:pPr>
    </w:p>
    <w:p w14:paraId="0BB574DF"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GFDRR </w:t>
      </w:r>
    </w:p>
    <w:p w14:paraId="4B5134ED" w14:textId="77777777" w:rsidR="00032303" w:rsidRPr="001D5FFE" w:rsidRDefault="00965302">
      <w:pPr>
        <w:pStyle w:val="BodyA"/>
        <w:rPr>
          <w:lang w:val="en-GB"/>
        </w:rPr>
      </w:pPr>
      <w:r w:rsidRPr="001D5FFE">
        <w:rPr>
          <w:rStyle w:val="None"/>
          <w:lang w:val="en-GB"/>
        </w:rPr>
        <w:t>The Global Facility for Disaster Reduction and Recovery (GFDRR) is a grant-funding mechanism, managed by the World Bank and a global partnership that helps developing countries better understand and reduce their vulnerability to natural hazards and climate change.</w:t>
      </w:r>
    </w:p>
    <w:p w14:paraId="056849FF" w14:textId="77777777" w:rsidR="00032303" w:rsidRPr="001D5FFE" w:rsidRDefault="00032303">
      <w:pPr>
        <w:pStyle w:val="BodyA"/>
        <w:rPr>
          <w:lang w:val="en-GB"/>
        </w:rPr>
      </w:pPr>
    </w:p>
    <w:p w14:paraId="0CEB67FF" w14:textId="77777777" w:rsidR="00032303" w:rsidRPr="001D5FFE" w:rsidRDefault="00965302">
      <w:pPr>
        <w:pStyle w:val="BodyA"/>
        <w:rPr>
          <w:lang w:val="en-GB"/>
        </w:rPr>
      </w:pPr>
      <w:r w:rsidRPr="001D5FFE">
        <w:rPr>
          <w:rFonts w:eastAsia="Arial Unicode MS"/>
          <w:lang w:val="en-GB"/>
        </w:rPr>
        <w:t>Working on the ground with over 400 local, national, regional, and international partners, GFDRR provides knowledge, funding, and technical assistance.</w:t>
      </w:r>
    </w:p>
    <w:p w14:paraId="3E01697E" w14:textId="52E0A5F1" w:rsidR="00032303" w:rsidRPr="001D5FFE" w:rsidRDefault="00965302">
      <w:pPr>
        <w:pStyle w:val="BodyA"/>
        <w:rPr>
          <w:lang w:val="en-GB"/>
        </w:rPr>
      </w:pPr>
      <w:r w:rsidRPr="001D5FFE">
        <w:rPr>
          <w:rFonts w:eastAsia="Arial Unicode MS"/>
          <w:lang w:val="en-GB"/>
        </w:rPr>
        <w:t>The Technical Assistance (TA) Programme for Disaster Rick Financing and Insurance (DRFI) in Caribbean Overseas Countries and Territories (OCTs), launched in 2019, is a partnership between the European Union (EU), the World Bank Group (WB), and the Global Facility for Disaster Reduction and Recovery (GFDRR). The Programme is an integral part of RESEMBID. </w:t>
      </w:r>
    </w:p>
    <w:p w14:paraId="5738E807" w14:textId="77777777" w:rsidR="00032303" w:rsidRPr="001D5FFE" w:rsidRDefault="00032303">
      <w:pPr>
        <w:pStyle w:val="Heading"/>
        <w:suppressAutoHyphens/>
        <w:rPr>
          <w:rFonts w:cs="Arial"/>
          <w:lang w:val="en-GB"/>
        </w:rPr>
      </w:pPr>
    </w:p>
    <w:p w14:paraId="3D2A4BE7" w14:textId="77777777" w:rsidR="00032303" w:rsidRPr="001D5FFE" w:rsidRDefault="00032303">
      <w:pPr>
        <w:pStyle w:val="BodyA"/>
        <w:rPr>
          <w:lang w:val="en-GB"/>
        </w:rPr>
      </w:pPr>
    </w:p>
    <w:p w14:paraId="1AAEC452"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Primary Stakeholders - the OCTs </w:t>
      </w:r>
    </w:p>
    <w:p w14:paraId="3DAE4ABE" w14:textId="77777777" w:rsidR="00032303" w:rsidRPr="001D5FFE" w:rsidRDefault="00032303">
      <w:pPr>
        <w:pStyle w:val="BodyA"/>
        <w:rPr>
          <w:lang w:val="en-GB"/>
        </w:rPr>
      </w:pPr>
    </w:p>
    <w:p w14:paraId="62762367" w14:textId="0F4AF85A" w:rsidR="00032303" w:rsidRPr="001D5FFE" w:rsidRDefault="00965302">
      <w:pPr>
        <w:pStyle w:val="BodyB"/>
        <w:jc w:val="both"/>
        <w:rPr>
          <w:rStyle w:val="None"/>
          <w:rFonts w:ascii="Arial" w:eastAsia="Arial" w:hAnsi="Arial" w:cs="Arial"/>
          <w:sz w:val="20"/>
          <w:szCs w:val="20"/>
          <w:lang w:val="en-GB"/>
        </w:rPr>
      </w:pPr>
      <w:r w:rsidRPr="001D5FFE">
        <w:rPr>
          <w:rStyle w:val="None"/>
          <w:rFonts w:ascii="Arial" w:hAnsi="Arial" w:cs="Arial"/>
          <w:sz w:val="20"/>
          <w:szCs w:val="20"/>
          <w:lang w:val="en-GB"/>
        </w:rPr>
        <w:t xml:space="preserve">RESEMBID considers all focal points and grantees equal partners in earnest.  All project ideas are born out of needs identified by persons in-country in each of the three component areas of focus (including projects developed under the COVID-19 Response Resilience Facility). The RESEMBID Programme exists to develop and finance these ideas into sustainable, human-centred projects that will benefit the individual OCTs and the wider Caribbean region. The Programme aims to serve the people of each OCT, and in so doing support their efforts to progress on the challenges, opportunities and aspirations of their societies. </w:t>
      </w:r>
    </w:p>
    <w:p w14:paraId="69391216" w14:textId="77777777" w:rsidR="00032303" w:rsidRPr="001D5FFE" w:rsidRDefault="00032303">
      <w:pPr>
        <w:pStyle w:val="BodyB"/>
        <w:rPr>
          <w:rStyle w:val="None"/>
          <w:rFonts w:ascii="Arial" w:eastAsia="Arial" w:hAnsi="Arial" w:cs="Arial"/>
          <w:sz w:val="20"/>
          <w:szCs w:val="20"/>
          <w:lang w:val="en-GB"/>
        </w:rPr>
      </w:pPr>
    </w:p>
    <w:p w14:paraId="4D77D6DE" w14:textId="5B2CDAE9" w:rsidR="00032303" w:rsidRPr="001D5FFE" w:rsidRDefault="00965302">
      <w:pPr>
        <w:pStyle w:val="BodyB"/>
        <w:rPr>
          <w:rStyle w:val="None"/>
          <w:rFonts w:ascii="Arial" w:eastAsia="Arial" w:hAnsi="Arial" w:cs="Arial"/>
          <w:sz w:val="20"/>
          <w:szCs w:val="20"/>
          <w:lang w:val="en-GB"/>
        </w:rPr>
      </w:pPr>
      <w:r w:rsidRPr="001D5FFE">
        <w:rPr>
          <w:rStyle w:val="None"/>
          <w:rFonts w:ascii="Arial" w:hAnsi="Arial" w:cs="Arial"/>
          <w:sz w:val="20"/>
          <w:szCs w:val="20"/>
          <w:lang w:val="en-GB"/>
        </w:rPr>
        <w:t xml:space="preserve">                      </w:t>
      </w:r>
    </w:p>
    <w:p w14:paraId="097AECAD" w14:textId="77777777" w:rsidR="00032303" w:rsidRPr="001D5FFE" w:rsidRDefault="00965302">
      <w:pPr>
        <w:pStyle w:val="Heading"/>
        <w:suppressAutoHyphens/>
        <w:rPr>
          <w:rFonts w:cs="Arial"/>
          <w:color w:val="002060"/>
          <w:lang w:val="en-GB"/>
        </w:rPr>
      </w:pPr>
      <w:r w:rsidRPr="001D5FFE">
        <w:rPr>
          <w:rFonts w:cs="Arial"/>
          <w:color w:val="002060"/>
          <w:lang w:val="en-GB"/>
        </w:rPr>
        <w:t>Visibility of RESEMBID funded projects</w:t>
      </w:r>
    </w:p>
    <w:p w14:paraId="4BD65D26" w14:textId="77777777" w:rsidR="00032303" w:rsidRPr="001D5FFE" w:rsidRDefault="00032303">
      <w:pPr>
        <w:pStyle w:val="BodyA"/>
        <w:rPr>
          <w:lang w:val="en-GB"/>
        </w:rPr>
      </w:pPr>
    </w:p>
    <w:p w14:paraId="79C04C66" w14:textId="048B50C4" w:rsidR="00032303" w:rsidRPr="001D5FFE" w:rsidRDefault="00965302">
      <w:pPr>
        <w:pStyle w:val="BodyA"/>
        <w:suppressAutoHyphens/>
        <w:rPr>
          <w:rStyle w:val="None"/>
          <w:color w:val="FFFFFF"/>
          <w:u w:color="FFFFFF"/>
          <w:lang w:val="en-GB"/>
        </w:rPr>
      </w:pPr>
      <w:r w:rsidRPr="001D5FFE">
        <w:rPr>
          <w:rStyle w:val="None"/>
          <w:u w:color="FFFFFF"/>
          <w:lang w:val="en-GB"/>
        </w:rPr>
        <w:t>As part of the project proposal, a C&amp;</w:t>
      </w:r>
      <w:r w:rsidR="009F4D06" w:rsidRPr="001D5FFE">
        <w:rPr>
          <w:rStyle w:val="None"/>
          <w:u w:color="FFFFFF"/>
          <w:lang w:val="en-GB"/>
        </w:rPr>
        <w:t xml:space="preserve">V plan </w:t>
      </w:r>
      <w:r w:rsidRPr="001D5FFE">
        <w:rPr>
          <w:rStyle w:val="None"/>
          <w:u w:color="FFFFFF"/>
          <w:lang w:val="en-GB"/>
        </w:rPr>
        <w:t>is required, in line with the template developed by RESEMBID (Annex I). The final activities and value of the C&amp;V budget are agreed with RESEMBID’s Communication Unit.</w:t>
      </w:r>
    </w:p>
    <w:p w14:paraId="613FDDD6" w14:textId="77777777" w:rsidR="00032303" w:rsidRPr="001D5FFE" w:rsidRDefault="00032303">
      <w:pPr>
        <w:pStyle w:val="BodyA"/>
        <w:rPr>
          <w:lang w:val="en-GB"/>
        </w:rPr>
      </w:pPr>
    </w:p>
    <w:p w14:paraId="6A2E5373" w14:textId="77777777" w:rsidR="00032303" w:rsidRPr="001D5FFE" w:rsidRDefault="00965302">
      <w:pPr>
        <w:pStyle w:val="BodyA"/>
        <w:suppressAutoHyphens/>
        <w:rPr>
          <w:lang w:val="en-GB"/>
        </w:rPr>
      </w:pPr>
      <w:r w:rsidRPr="001D5FFE">
        <w:rPr>
          <w:lang w:val="en-GB"/>
        </w:rPr>
        <w:t>All grantees have a contractual obligation to provide standard visibility for the EU as the donor and RESEMBID as the specific project’s Implementation Agency. This applies to all funding coming from the EU budget. Under this obligation, grantees ensure visibility of the EU and RESEMBID, throughout its communication and on the field, through:</w:t>
      </w:r>
    </w:p>
    <w:p w14:paraId="0E445486" w14:textId="6B8E8306" w:rsidR="00032303" w:rsidRPr="001D5FFE" w:rsidRDefault="005627B7">
      <w:pPr>
        <w:pStyle w:val="ListParagraph"/>
        <w:numPr>
          <w:ilvl w:val="0"/>
          <w:numId w:val="11"/>
        </w:numPr>
        <w:suppressAutoHyphens/>
        <w:spacing w:before="0" w:after="160" w:line="259" w:lineRule="auto"/>
        <w:rPr>
          <w:rFonts w:cs="Arial"/>
          <w:lang w:val="en-GB"/>
        </w:rPr>
      </w:pPr>
      <w:r w:rsidRPr="001D5FFE">
        <w:rPr>
          <w:rFonts w:cs="Arial"/>
          <w:lang w:val="en-GB"/>
        </w:rPr>
        <w:t>D</w:t>
      </w:r>
      <w:r w:rsidR="00965302" w:rsidRPr="001D5FFE">
        <w:rPr>
          <w:rFonts w:cs="Arial"/>
          <w:lang w:val="en-GB"/>
        </w:rPr>
        <w:t>isplay/presence of the EU/RESEMBID logos with the accompanying text on the project site/s and on the purchased equipment</w:t>
      </w:r>
    </w:p>
    <w:p w14:paraId="6E6B41D0" w14:textId="72168768" w:rsidR="00032303" w:rsidRPr="001D5FFE" w:rsidRDefault="005627B7">
      <w:pPr>
        <w:pStyle w:val="ListParagraph"/>
        <w:numPr>
          <w:ilvl w:val="0"/>
          <w:numId w:val="11"/>
        </w:numPr>
        <w:suppressAutoHyphens/>
        <w:spacing w:before="0" w:after="160" w:line="259" w:lineRule="auto"/>
        <w:rPr>
          <w:rFonts w:cs="Arial"/>
          <w:lang w:val="en-GB"/>
        </w:rPr>
      </w:pPr>
      <w:r w:rsidRPr="001D5FFE">
        <w:rPr>
          <w:rFonts w:cs="Arial"/>
          <w:lang w:val="en-GB"/>
        </w:rPr>
        <w:t>C</w:t>
      </w:r>
      <w:r w:rsidR="00965302" w:rsidRPr="001D5FFE">
        <w:rPr>
          <w:rFonts w:cs="Arial"/>
          <w:lang w:val="en-GB"/>
        </w:rPr>
        <w:t>lear identification of the received EU/RESEMBID support in communication during all stages of the project (start, implementation, completion) with wide dissemination via press releases, social media, web pages, interviews etc.</w:t>
      </w:r>
    </w:p>
    <w:p w14:paraId="23C8BE0D" w14:textId="7B82AE75" w:rsidR="00032303" w:rsidRPr="001D5FFE" w:rsidRDefault="00965302">
      <w:pPr>
        <w:pStyle w:val="BodyA"/>
        <w:suppressAutoHyphens/>
        <w:rPr>
          <w:lang w:val="en-GB"/>
        </w:rPr>
      </w:pPr>
      <w:r w:rsidRPr="001D5FFE">
        <w:rPr>
          <w:lang w:val="en-GB"/>
        </w:rPr>
        <w:t>In addition to the above-stated standardised visibility requirements, the RESEMBID Programme aims at increased communication with the population of the OCT’s, with a purpose to further:</w:t>
      </w:r>
    </w:p>
    <w:p w14:paraId="5F6BBBEF" w14:textId="77777777" w:rsidR="00965302" w:rsidRPr="001D5FFE" w:rsidRDefault="00965302">
      <w:pPr>
        <w:pStyle w:val="BodyA"/>
        <w:suppressAutoHyphens/>
        <w:rPr>
          <w:lang w:val="en-GB"/>
        </w:rPr>
      </w:pPr>
    </w:p>
    <w:p w14:paraId="672FCB5E" w14:textId="43684754" w:rsidR="00032303" w:rsidRPr="001D5FFE" w:rsidRDefault="00965302">
      <w:pPr>
        <w:pStyle w:val="ListParagraph"/>
        <w:numPr>
          <w:ilvl w:val="0"/>
          <w:numId w:val="12"/>
        </w:numPr>
        <w:suppressAutoHyphens/>
        <w:spacing w:before="0" w:after="160" w:line="259" w:lineRule="auto"/>
        <w:rPr>
          <w:rFonts w:cs="Arial"/>
          <w:lang w:val="en-GB"/>
        </w:rPr>
      </w:pPr>
      <w:r w:rsidRPr="001D5FFE">
        <w:rPr>
          <w:rStyle w:val="None"/>
          <w:rFonts w:cs="Arial"/>
          <w:b/>
          <w:bCs/>
          <w:lang w:val="en-GB"/>
        </w:rPr>
        <w:t>Understanding:</w:t>
      </w:r>
      <w:r w:rsidRPr="001D5FFE">
        <w:rPr>
          <w:rFonts w:cs="Arial"/>
          <w:lang w:val="en-GB"/>
        </w:rPr>
        <w:t xml:space="preserve"> creates an understanding of what the Programme is about and why the focus areas</w:t>
      </w:r>
    </w:p>
    <w:p w14:paraId="2F99BC67" w14:textId="70F06EE6" w:rsidR="00032303" w:rsidRPr="001D5FFE" w:rsidRDefault="00965302">
      <w:pPr>
        <w:pStyle w:val="ListParagraph"/>
        <w:numPr>
          <w:ilvl w:val="0"/>
          <w:numId w:val="12"/>
        </w:numPr>
        <w:suppressAutoHyphens/>
        <w:spacing w:before="0" w:after="160" w:line="259" w:lineRule="auto"/>
        <w:rPr>
          <w:rFonts w:cs="Arial"/>
          <w:lang w:val="en-GB"/>
        </w:rPr>
      </w:pPr>
      <w:r w:rsidRPr="001D5FFE">
        <w:rPr>
          <w:rStyle w:val="None"/>
          <w:rFonts w:cs="Arial"/>
          <w:b/>
          <w:bCs/>
          <w:lang w:val="en-GB"/>
        </w:rPr>
        <w:t>Recognition</w:t>
      </w:r>
      <w:r w:rsidRPr="001D5FFE">
        <w:rPr>
          <w:rFonts w:cs="Arial"/>
          <w:lang w:val="en-GB"/>
        </w:rPr>
        <w:t>:  of what the Programme together with the OCTs, seeks to do and is aiming to achieve</w:t>
      </w:r>
    </w:p>
    <w:p w14:paraId="37DD7A6F" w14:textId="32292EAD" w:rsidR="00032303" w:rsidRPr="001D5FFE" w:rsidRDefault="00965302">
      <w:pPr>
        <w:pStyle w:val="ListParagraph"/>
        <w:numPr>
          <w:ilvl w:val="0"/>
          <w:numId w:val="12"/>
        </w:numPr>
        <w:suppressAutoHyphens/>
        <w:spacing w:before="0" w:after="160" w:line="259" w:lineRule="auto"/>
        <w:rPr>
          <w:rFonts w:cs="Arial"/>
          <w:lang w:val="en-GB"/>
        </w:rPr>
      </w:pPr>
      <w:r w:rsidRPr="001D5FFE">
        <w:rPr>
          <w:rStyle w:val="None"/>
          <w:rFonts w:cs="Arial"/>
          <w:b/>
          <w:bCs/>
          <w:lang w:val="en-GB"/>
        </w:rPr>
        <w:t>Visibility</w:t>
      </w:r>
      <w:r w:rsidRPr="001D5FFE">
        <w:rPr>
          <w:rFonts w:cs="Arial"/>
          <w:lang w:val="en-GB"/>
        </w:rPr>
        <w:t>: ensure EU financed actions are in keeping with EU values and guidelines</w:t>
      </w:r>
    </w:p>
    <w:p w14:paraId="46AEC4F2" w14:textId="77777777" w:rsidR="00032303" w:rsidRPr="001D5FFE" w:rsidRDefault="00965302">
      <w:pPr>
        <w:pStyle w:val="ListParagraph"/>
        <w:suppressAutoHyphens/>
        <w:spacing w:before="0" w:after="160" w:line="259" w:lineRule="auto"/>
        <w:ind w:left="0"/>
        <w:rPr>
          <w:rFonts w:cs="Arial"/>
          <w:lang w:val="en-GB"/>
        </w:rPr>
      </w:pPr>
      <w:r w:rsidRPr="001D5FFE">
        <w:rPr>
          <w:rFonts w:cs="Arial"/>
          <w:lang w:val="en-GB"/>
        </w:rPr>
        <w:t xml:space="preserve">Though there are standard recommended activities discussed below, RESEMBID acknowledges the importance of developing and implementing communications activities that are anchored in cultural sensitivities and approaches that will maximise efficacy and reach. Grantees are encouraged to tailor C&amp;V activities to their operational environment and the thematic focus of their projects. </w:t>
      </w:r>
    </w:p>
    <w:p w14:paraId="179B897C" w14:textId="77777777" w:rsidR="00032303" w:rsidRPr="001D5FFE" w:rsidRDefault="00965302">
      <w:pPr>
        <w:pStyle w:val="Heading"/>
        <w:suppressAutoHyphens/>
        <w:rPr>
          <w:rFonts w:cs="Arial"/>
          <w:color w:val="002060"/>
          <w:lang w:val="en-GB"/>
        </w:rPr>
      </w:pPr>
      <w:r w:rsidRPr="001D5FFE">
        <w:rPr>
          <w:rFonts w:cs="Arial"/>
          <w:color w:val="002060"/>
          <w:lang w:val="en-GB"/>
        </w:rPr>
        <w:t>C&amp;V project budget</w:t>
      </w:r>
    </w:p>
    <w:p w14:paraId="44F60A9A" w14:textId="77777777" w:rsidR="00032303" w:rsidRPr="001D5FFE" w:rsidRDefault="00032303">
      <w:pPr>
        <w:pStyle w:val="BodyA"/>
        <w:suppressAutoHyphens/>
        <w:rPr>
          <w:lang w:val="en-GB"/>
        </w:rPr>
      </w:pPr>
    </w:p>
    <w:p w14:paraId="2E018466" w14:textId="2AC0D60D" w:rsidR="00032303" w:rsidRPr="001D5FFE" w:rsidRDefault="00965302">
      <w:pPr>
        <w:pStyle w:val="BodyA"/>
        <w:suppressAutoHyphens/>
        <w:rPr>
          <w:lang w:val="en-GB"/>
        </w:rPr>
      </w:pPr>
      <w:r w:rsidRPr="001D5FFE">
        <w:rPr>
          <w:lang w:val="en-GB"/>
        </w:rPr>
        <w:t xml:space="preserve">RESEMBID grantees cover the gamut </w:t>
      </w:r>
      <w:r w:rsidR="006225D4" w:rsidRPr="001D5FFE">
        <w:rPr>
          <w:lang w:val="en-GB"/>
        </w:rPr>
        <w:t xml:space="preserve">in terms </w:t>
      </w:r>
      <w:r w:rsidRPr="001D5FFE">
        <w:rPr>
          <w:lang w:val="en-GB"/>
        </w:rPr>
        <w:t xml:space="preserve">of both the </w:t>
      </w:r>
      <w:r w:rsidR="003928A5" w:rsidRPr="001D5FFE">
        <w:rPr>
          <w:lang w:val="en-GB"/>
        </w:rPr>
        <w:t>scope and</w:t>
      </w:r>
      <w:r w:rsidRPr="001D5FFE">
        <w:rPr>
          <w:lang w:val="en-GB"/>
        </w:rPr>
        <w:t xml:space="preserve"> complexity of their projects </w:t>
      </w:r>
      <w:r w:rsidR="006225D4" w:rsidRPr="001D5FFE">
        <w:rPr>
          <w:lang w:val="en-GB"/>
        </w:rPr>
        <w:t>as well as</w:t>
      </w:r>
      <w:r w:rsidRPr="001D5FFE">
        <w:rPr>
          <w:lang w:val="en-GB"/>
        </w:rPr>
        <w:t xml:space="preserve"> the size and </w:t>
      </w:r>
      <w:r w:rsidR="006225D4" w:rsidRPr="001D5FFE">
        <w:rPr>
          <w:lang w:val="en-GB"/>
        </w:rPr>
        <w:t xml:space="preserve">intricacy </w:t>
      </w:r>
      <w:r w:rsidRPr="001D5FFE">
        <w:rPr>
          <w:lang w:val="en-GB"/>
        </w:rPr>
        <w:t xml:space="preserve">of their organisational structures. In an effort, therefore, to ensure a consistent standard of communications material and messaging are produced and distributed to the optimum mix of stakeholders, RESEMBID requires that up to 7% of the overall project </w:t>
      </w:r>
      <w:r w:rsidR="00345DA9" w:rsidRPr="001D5FFE">
        <w:rPr>
          <w:lang w:val="en-GB"/>
        </w:rPr>
        <w:t xml:space="preserve">budget </w:t>
      </w:r>
      <w:r w:rsidRPr="001D5FFE">
        <w:rPr>
          <w:lang w:val="en-GB"/>
        </w:rPr>
        <w:t xml:space="preserve">be allocated to C&amp;V activities to be agreed and approved by RESEMBID. </w:t>
      </w:r>
    </w:p>
    <w:p w14:paraId="0B40F75A" w14:textId="392930BA" w:rsidR="00032303" w:rsidRPr="001D5FFE" w:rsidRDefault="00965302">
      <w:pPr>
        <w:pStyle w:val="BodyA"/>
        <w:suppressAutoHyphens/>
        <w:rPr>
          <w:lang w:val="en-GB"/>
        </w:rPr>
      </w:pPr>
      <w:r w:rsidRPr="001D5FFE">
        <w:rPr>
          <w:lang w:val="en-GB"/>
        </w:rPr>
        <w:t xml:space="preserve">Subject to the discretion of RESEMBID’s Communication Manager, the percentage assigned for C&amp;V may be increased, depending on the nature of the project and the </w:t>
      </w:r>
      <w:r w:rsidR="003928A5" w:rsidRPr="001D5FFE">
        <w:rPr>
          <w:lang w:val="en-GB"/>
        </w:rPr>
        <w:t xml:space="preserve">associated </w:t>
      </w:r>
      <w:r w:rsidRPr="001D5FFE">
        <w:rPr>
          <w:lang w:val="en-GB"/>
        </w:rPr>
        <w:t>activities foreseen.</w:t>
      </w:r>
    </w:p>
    <w:p w14:paraId="565DF74F" w14:textId="77777777" w:rsidR="00032303" w:rsidRPr="001D5FFE" w:rsidRDefault="00032303">
      <w:pPr>
        <w:pStyle w:val="BodyA"/>
        <w:suppressAutoHyphens/>
        <w:rPr>
          <w:lang w:val="en-GB"/>
        </w:rPr>
      </w:pPr>
    </w:p>
    <w:p w14:paraId="6DE573B4" w14:textId="77777777" w:rsidR="00032303" w:rsidRPr="001D5FFE" w:rsidRDefault="00965302">
      <w:pPr>
        <w:pStyle w:val="Heading"/>
        <w:suppressAutoHyphens/>
        <w:rPr>
          <w:rFonts w:cs="Arial"/>
          <w:color w:val="002060"/>
          <w:lang w:val="en-GB"/>
        </w:rPr>
      </w:pPr>
      <w:r w:rsidRPr="001D5FFE">
        <w:rPr>
          <w:rFonts w:cs="Arial"/>
          <w:color w:val="002060"/>
          <w:lang w:val="en-GB"/>
        </w:rPr>
        <w:t>Content of Percentage Dedicated to C&amp;V</w:t>
      </w:r>
    </w:p>
    <w:p w14:paraId="1694B0B6" w14:textId="77777777" w:rsidR="00032303" w:rsidRPr="001D5FFE" w:rsidRDefault="00965302">
      <w:pPr>
        <w:pStyle w:val="BodyA"/>
        <w:suppressAutoHyphens/>
        <w:rPr>
          <w:lang w:val="en-GB"/>
        </w:rPr>
      </w:pPr>
      <w:r w:rsidRPr="001D5FFE">
        <w:rPr>
          <w:lang w:val="en-GB"/>
        </w:rPr>
        <w:t xml:space="preserve">The C&amp;V material generated for the project, whether by external providers or RESEMBID’s own C&amp;V unit should be informed by the following content guidelines: </w:t>
      </w:r>
    </w:p>
    <w:p w14:paraId="614BF462" w14:textId="77777777" w:rsidR="00032303" w:rsidRPr="001D5FFE" w:rsidRDefault="00032303">
      <w:pPr>
        <w:pStyle w:val="BodyA"/>
        <w:suppressAutoHyphens/>
        <w:rPr>
          <w:lang w:val="en-GB"/>
        </w:rPr>
      </w:pPr>
    </w:p>
    <w:p w14:paraId="39EB2B45" w14:textId="382658CB" w:rsidR="00032303" w:rsidRPr="001D5FFE" w:rsidRDefault="00965302">
      <w:pPr>
        <w:pStyle w:val="BodyA"/>
        <w:numPr>
          <w:ilvl w:val="0"/>
          <w:numId w:val="12"/>
        </w:numPr>
        <w:suppressAutoHyphens/>
        <w:rPr>
          <w:lang w:val="en-GB"/>
        </w:rPr>
      </w:pPr>
      <w:r w:rsidRPr="001D5FFE">
        <w:rPr>
          <w:lang w:val="en-GB"/>
        </w:rPr>
        <w:t xml:space="preserve">Not take an overly technical, traditional public relations approach and should not speak solely to technical material </w:t>
      </w:r>
    </w:p>
    <w:p w14:paraId="0DE7BD7A" w14:textId="5AF906C4" w:rsidR="00032303" w:rsidRPr="001D5FFE" w:rsidRDefault="00965302">
      <w:pPr>
        <w:pStyle w:val="BodyA"/>
        <w:numPr>
          <w:ilvl w:val="0"/>
          <w:numId w:val="12"/>
        </w:numPr>
        <w:suppressAutoHyphens/>
        <w:rPr>
          <w:lang w:val="en-GB"/>
        </w:rPr>
      </w:pPr>
      <w:r w:rsidRPr="001D5FFE">
        <w:rPr>
          <w:lang w:val="en-GB"/>
        </w:rPr>
        <w:t xml:space="preserve">Must have a specific storytelling focus. The content must take a humanistic approach - reflecting the positive elements, successes, potential opportunities as well as challenges faced in grantees’ respective countries and </w:t>
      </w:r>
      <w:proofErr w:type="gramStart"/>
      <w:r w:rsidRPr="001D5FFE">
        <w:rPr>
          <w:lang w:val="en-GB"/>
        </w:rPr>
        <w:t>within  the</w:t>
      </w:r>
      <w:proofErr w:type="gramEnd"/>
      <w:r w:rsidRPr="001D5FFE">
        <w:rPr>
          <w:lang w:val="en-GB"/>
        </w:rPr>
        <w:t xml:space="preserve"> programme’s areas of focus: Resilience, Sustainable Energy and Marine Biodiversity</w:t>
      </w:r>
    </w:p>
    <w:p w14:paraId="0E5CA8C5" w14:textId="1E85853E" w:rsidR="00032303" w:rsidRPr="001D5FFE" w:rsidRDefault="00965302">
      <w:pPr>
        <w:pStyle w:val="BodyA"/>
        <w:numPr>
          <w:ilvl w:val="0"/>
          <w:numId w:val="12"/>
        </w:numPr>
        <w:suppressAutoHyphens/>
        <w:rPr>
          <w:lang w:val="en-GB"/>
        </w:rPr>
      </w:pPr>
      <w:r w:rsidRPr="001D5FFE">
        <w:rPr>
          <w:lang w:val="en-GB"/>
        </w:rPr>
        <w:t>People first - the focus of the</w:t>
      </w:r>
      <w:r w:rsidR="00A65396" w:rsidRPr="001D5FFE">
        <w:rPr>
          <w:lang w:val="en-GB"/>
        </w:rPr>
        <w:t xml:space="preserve"> material generated</w:t>
      </w:r>
      <w:r w:rsidRPr="001D5FFE">
        <w:rPr>
          <w:lang w:val="en-GB"/>
        </w:rPr>
        <w:t xml:space="preserve"> should centre on the benefits that will redound to the people as opposed to the perspective of the donor (EU) and implementation (Expertise France) agency</w:t>
      </w:r>
    </w:p>
    <w:p w14:paraId="13C350EE" w14:textId="03554E8E" w:rsidR="00032303" w:rsidRPr="001D5FFE" w:rsidRDefault="00965302">
      <w:pPr>
        <w:pStyle w:val="BodyA"/>
        <w:numPr>
          <w:ilvl w:val="0"/>
          <w:numId w:val="12"/>
        </w:numPr>
        <w:suppressAutoHyphens/>
        <w:rPr>
          <w:lang w:val="en-GB"/>
        </w:rPr>
      </w:pPr>
      <w:r w:rsidRPr="001D5FFE">
        <w:rPr>
          <w:lang w:val="en-GB"/>
        </w:rPr>
        <w:lastRenderedPageBreak/>
        <w:t>Speak to accountability and responsibility for the allocated funds</w:t>
      </w:r>
    </w:p>
    <w:p w14:paraId="47047940" w14:textId="77777777" w:rsidR="00032303" w:rsidRPr="001D5FFE" w:rsidRDefault="00032303">
      <w:pPr>
        <w:pStyle w:val="BodyA"/>
        <w:suppressAutoHyphens/>
        <w:rPr>
          <w:lang w:val="en-GB"/>
        </w:rPr>
      </w:pPr>
    </w:p>
    <w:p w14:paraId="11AC6E56" w14:textId="77777777" w:rsidR="00032303" w:rsidRPr="001D5FFE" w:rsidRDefault="00032303">
      <w:pPr>
        <w:pStyle w:val="BodyA"/>
        <w:suppressAutoHyphens/>
        <w:rPr>
          <w:lang w:val="en-GB"/>
        </w:rPr>
      </w:pPr>
    </w:p>
    <w:p w14:paraId="1F1183CE" w14:textId="6098A3FE" w:rsidR="00032303" w:rsidRPr="001D5FFE" w:rsidRDefault="00965302">
      <w:pPr>
        <w:pStyle w:val="BodyA"/>
        <w:suppressAutoHyphens/>
        <w:rPr>
          <w:lang w:val="en-GB"/>
        </w:rPr>
      </w:pPr>
      <w:r w:rsidRPr="001D5FFE">
        <w:rPr>
          <w:lang w:val="en-GB"/>
        </w:rPr>
        <w:t>RESEMBID has established three categories of grant contracts with a different percentage dedicated to C&amp;V, depending on the size of the contract</w:t>
      </w:r>
      <w:r w:rsidRPr="001D5FFE">
        <w:rPr>
          <w:rStyle w:val="FootnoteReference"/>
          <w:lang w:val="en-GB"/>
        </w:rPr>
        <w:footnoteReference w:id="2"/>
      </w:r>
      <w:r w:rsidRPr="001D5FFE">
        <w:rPr>
          <w:lang w:val="en-GB"/>
        </w:rPr>
        <w:t>. The categories are:</w:t>
      </w:r>
    </w:p>
    <w:p w14:paraId="5AD81F63" w14:textId="77777777" w:rsidR="00345DA9" w:rsidRPr="001D5FFE" w:rsidRDefault="00345DA9">
      <w:pPr>
        <w:pStyle w:val="BodyA"/>
        <w:suppressAutoHyphens/>
        <w:rPr>
          <w:lang w:val="en-GB"/>
        </w:rPr>
      </w:pPr>
    </w:p>
    <w:tbl>
      <w:tblPr>
        <w:tblW w:w="935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DBE6"/>
        <w:tblLayout w:type="fixed"/>
        <w:tblLook w:val="04A0" w:firstRow="1" w:lastRow="0" w:firstColumn="1" w:lastColumn="0" w:noHBand="0" w:noVBand="1"/>
      </w:tblPr>
      <w:tblGrid>
        <w:gridCol w:w="2337"/>
        <w:gridCol w:w="2337"/>
        <w:gridCol w:w="2338"/>
        <w:gridCol w:w="2338"/>
      </w:tblGrid>
      <w:tr w:rsidR="00032303" w:rsidRPr="001D5FFE" w14:paraId="16062C45" w14:textId="77777777">
        <w:trPr>
          <w:trHeight w:val="58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A2FE7" w14:textId="77777777" w:rsidR="00032303" w:rsidRPr="001D5FFE" w:rsidRDefault="00965302">
            <w:pPr>
              <w:pStyle w:val="BodyA"/>
              <w:jc w:val="left"/>
              <w:rPr>
                <w:lang w:val="en-GB"/>
              </w:rPr>
            </w:pPr>
            <w:r w:rsidRPr="001D5FFE">
              <w:rPr>
                <w:rStyle w:val="None"/>
                <w:shd w:val="clear" w:color="auto" w:fill="FFFFFF"/>
                <w:lang w:val="en-GB"/>
              </w:rPr>
              <w:t>Budget amount in EUR</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CA85C" w14:textId="77777777" w:rsidR="00032303" w:rsidRPr="001D5FFE" w:rsidRDefault="00965302">
            <w:pPr>
              <w:pStyle w:val="BodyA"/>
              <w:jc w:val="center"/>
              <w:rPr>
                <w:lang w:val="en-GB"/>
              </w:rPr>
            </w:pPr>
            <w:r w:rsidRPr="001D5FFE">
              <w:rPr>
                <w:rStyle w:val="None"/>
                <w:shd w:val="clear" w:color="auto" w:fill="FFFFFF"/>
                <w:lang w:val="en-GB"/>
              </w:rPr>
              <w:t>&lt;599.999</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7337" w14:textId="77777777" w:rsidR="00032303" w:rsidRPr="001D5FFE" w:rsidRDefault="00965302">
            <w:pPr>
              <w:pStyle w:val="BodyA"/>
              <w:jc w:val="center"/>
              <w:rPr>
                <w:lang w:val="en-GB"/>
              </w:rPr>
            </w:pPr>
            <w:r w:rsidRPr="001D5FFE">
              <w:rPr>
                <w:rStyle w:val="None"/>
                <w:shd w:val="clear" w:color="auto" w:fill="FFFFFF"/>
                <w:lang w:val="en-GB"/>
              </w:rPr>
              <w:t>600.000 -1.199.999</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7DBC0" w14:textId="77777777" w:rsidR="00032303" w:rsidRPr="001D5FFE" w:rsidRDefault="00965302">
            <w:pPr>
              <w:pStyle w:val="BodyA"/>
              <w:jc w:val="center"/>
              <w:rPr>
                <w:lang w:val="en-GB"/>
              </w:rPr>
            </w:pPr>
            <w:r w:rsidRPr="001D5FFE">
              <w:rPr>
                <w:rStyle w:val="None"/>
                <w:shd w:val="clear" w:color="auto" w:fill="FFFFFF"/>
                <w:lang w:val="en-GB"/>
              </w:rPr>
              <w:t>&gt;1.199.999</w:t>
            </w:r>
          </w:p>
        </w:tc>
      </w:tr>
      <w:tr w:rsidR="00032303" w:rsidRPr="001D5FFE" w14:paraId="088BE0B4" w14:textId="77777777">
        <w:trPr>
          <w:trHeight w:val="57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0C8A" w14:textId="77777777" w:rsidR="00032303" w:rsidRPr="001D5FFE" w:rsidRDefault="00965302">
            <w:pPr>
              <w:pStyle w:val="BodyA"/>
              <w:jc w:val="center"/>
              <w:rPr>
                <w:lang w:val="en-GB"/>
              </w:rPr>
            </w:pPr>
            <w:r w:rsidRPr="001D5FFE">
              <w:rPr>
                <w:rStyle w:val="None"/>
                <w:shd w:val="clear" w:color="auto" w:fill="FFFFFF"/>
                <w:lang w:val="en-GB"/>
              </w:rPr>
              <w:t>Percentage for C&amp;V</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6C9D3" w14:textId="77777777" w:rsidR="00032303" w:rsidRPr="001D5FFE" w:rsidRDefault="00965302">
            <w:pPr>
              <w:pStyle w:val="BodyA"/>
              <w:jc w:val="center"/>
              <w:rPr>
                <w:lang w:val="en-GB"/>
              </w:rPr>
            </w:pPr>
            <w:r w:rsidRPr="001D5FFE">
              <w:rPr>
                <w:rStyle w:val="None"/>
                <w:shd w:val="clear" w:color="auto" w:fill="FFFFFF"/>
                <w:lang w:val="en-GB"/>
              </w:rPr>
              <w:t>7</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96644" w14:textId="77777777" w:rsidR="00032303" w:rsidRPr="001D5FFE" w:rsidRDefault="00965302">
            <w:pPr>
              <w:pStyle w:val="BodyA"/>
              <w:jc w:val="center"/>
              <w:rPr>
                <w:lang w:val="en-GB"/>
              </w:rPr>
            </w:pPr>
            <w:r w:rsidRPr="001D5FFE">
              <w:rPr>
                <w:rStyle w:val="None"/>
                <w:shd w:val="clear" w:color="auto" w:fill="FFFFFF"/>
                <w:lang w:val="en-GB"/>
              </w:rPr>
              <w:t>6</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5048A" w14:textId="77777777" w:rsidR="00032303" w:rsidRPr="001D5FFE" w:rsidRDefault="00965302">
            <w:pPr>
              <w:pStyle w:val="BodyA"/>
              <w:jc w:val="center"/>
              <w:rPr>
                <w:lang w:val="en-GB"/>
              </w:rPr>
            </w:pPr>
            <w:r w:rsidRPr="001D5FFE">
              <w:rPr>
                <w:rStyle w:val="None"/>
                <w:shd w:val="clear" w:color="auto" w:fill="FFFFFF"/>
                <w:lang w:val="en-GB"/>
              </w:rPr>
              <w:t>5</w:t>
            </w:r>
          </w:p>
        </w:tc>
      </w:tr>
    </w:tbl>
    <w:p w14:paraId="79380033" w14:textId="77777777" w:rsidR="00032303" w:rsidRPr="001D5FFE" w:rsidRDefault="00032303">
      <w:pPr>
        <w:pStyle w:val="BodyA"/>
        <w:widowControl w:val="0"/>
        <w:suppressAutoHyphens/>
        <w:ind w:left="540" w:hanging="540"/>
        <w:rPr>
          <w:lang w:val="en-GB"/>
        </w:rPr>
      </w:pPr>
    </w:p>
    <w:p w14:paraId="0D1F3E58" w14:textId="77777777" w:rsidR="00032303" w:rsidRPr="001D5FFE" w:rsidRDefault="00032303">
      <w:pPr>
        <w:pStyle w:val="BodyA"/>
        <w:suppressAutoHyphens/>
        <w:rPr>
          <w:lang w:val="en-GB"/>
        </w:rPr>
      </w:pPr>
    </w:p>
    <w:p w14:paraId="02A77570" w14:textId="77777777" w:rsidR="00032303" w:rsidRPr="001D5FFE" w:rsidRDefault="00032303">
      <w:pPr>
        <w:pStyle w:val="BodyA"/>
        <w:suppressAutoHyphens/>
        <w:rPr>
          <w:lang w:val="en-GB"/>
        </w:rPr>
      </w:pPr>
    </w:p>
    <w:p w14:paraId="6D50F764" w14:textId="77777777" w:rsidR="00032303" w:rsidRPr="001D5FFE" w:rsidRDefault="00965302">
      <w:pPr>
        <w:pStyle w:val="BodyA"/>
        <w:suppressAutoHyphens/>
        <w:rPr>
          <w:lang w:val="en-GB"/>
        </w:rPr>
      </w:pPr>
      <w:r w:rsidRPr="001D5FFE">
        <w:rPr>
          <w:rStyle w:val="None"/>
          <w:lang w:val="en-GB"/>
        </w:rPr>
        <w:t xml:space="preserve">The maximum amount assigned to C&amp;V activities per grant contract is EUR 750,000. </w:t>
      </w:r>
    </w:p>
    <w:p w14:paraId="562FAFE4" w14:textId="6605A1B2" w:rsidR="00032303" w:rsidRPr="001D5FFE" w:rsidRDefault="00965302">
      <w:pPr>
        <w:pStyle w:val="BodyA"/>
        <w:suppressAutoHyphens/>
        <w:rPr>
          <w:lang w:val="en-GB"/>
        </w:rPr>
      </w:pPr>
      <w:r w:rsidRPr="001D5FFE">
        <w:rPr>
          <w:lang w:val="en-GB"/>
        </w:rPr>
        <w:t xml:space="preserve">The assigned amounts will ensure that the activities are commensurate </w:t>
      </w:r>
      <w:r w:rsidR="009957BF" w:rsidRPr="001D5FFE">
        <w:rPr>
          <w:lang w:val="en-GB"/>
        </w:rPr>
        <w:t xml:space="preserve">with </w:t>
      </w:r>
      <w:r w:rsidRPr="001D5FFE">
        <w:rPr>
          <w:lang w:val="en-GB"/>
        </w:rPr>
        <w:t>the significance of each national and regional OCT-driven project and the contribution by the RESEMBID Programme.</w:t>
      </w:r>
    </w:p>
    <w:p w14:paraId="7E7B9245" w14:textId="77777777" w:rsidR="00032303" w:rsidRPr="001D5FFE" w:rsidRDefault="00032303">
      <w:pPr>
        <w:pStyle w:val="BodyA"/>
        <w:suppressAutoHyphens/>
        <w:rPr>
          <w:lang w:val="en-GB"/>
        </w:rPr>
      </w:pPr>
    </w:p>
    <w:p w14:paraId="65A7561A" w14:textId="77777777" w:rsidR="00032303" w:rsidRPr="001D5FFE" w:rsidRDefault="00032303">
      <w:pPr>
        <w:pStyle w:val="BodyA"/>
        <w:suppressAutoHyphens/>
        <w:rPr>
          <w:lang w:val="en-GB"/>
        </w:rPr>
      </w:pPr>
    </w:p>
    <w:p w14:paraId="5F9F1928" w14:textId="77777777" w:rsidR="00032303" w:rsidRPr="001D5FFE" w:rsidRDefault="00965302">
      <w:pPr>
        <w:pStyle w:val="BodyA"/>
        <w:suppressAutoHyphens/>
        <w:rPr>
          <w:lang w:val="en-GB"/>
        </w:rPr>
      </w:pPr>
      <w:r w:rsidRPr="001D5FFE">
        <w:rPr>
          <w:rStyle w:val="None"/>
          <w:rFonts w:eastAsia="Arial Unicode MS"/>
          <w:lang w:val="en-GB"/>
        </w:rPr>
        <w:br/>
      </w:r>
    </w:p>
    <w:p w14:paraId="7594FB14" w14:textId="77777777" w:rsidR="00032303" w:rsidRPr="001D5FFE" w:rsidRDefault="00965302">
      <w:pPr>
        <w:pStyle w:val="Heading"/>
        <w:suppressAutoHyphens/>
        <w:rPr>
          <w:rFonts w:cs="Arial"/>
          <w:color w:val="002060"/>
          <w:lang w:val="en-GB"/>
        </w:rPr>
      </w:pPr>
      <w:r w:rsidRPr="001D5FFE">
        <w:rPr>
          <w:rFonts w:cs="Arial"/>
          <w:color w:val="002060"/>
          <w:lang w:val="en-GB"/>
        </w:rPr>
        <w:t>Division of communication and visibility tasks and activities between the involved parties</w:t>
      </w:r>
    </w:p>
    <w:p w14:paraId="6F712F84" w14:textId="77777777" w:rsidR="00032303" w:rsidRPr="001D5FFE" w:rsidRDefault="00032303">
      <w:pPr>
        <w:pStyle w:val="BodyA"/>
        <w:rPr>
          <w:lang w:val="en-GB"/>
        </w:rPr>
      </w:pPr>
    </w:p>
    <w:p w14:paraId="6438C187" w14:textId="77777777" w:rsidR="00032303" w:rsidRPr="001D5FFE" w:rsidRDefault="00965302">
      <w:pPr>
        <w:pStyle w:val="BodyA"/>
        <w:suppressAutoHyphens/>
        <w:rPr>
          <w:lang w:val="en-GB"/>
        </w:rPr>
      </w:pPr>
      <w:r w:rsidRPr="001D5FFE">
        <w:rPr>
          <w:lang w:val="en-GB"/>
        </w:rPr>
        <w:t>RESEMBID anchors its C&amp;V tools in illustrating how deeply projects will impact both in-country areas of focus (Resilience, Sustainable Energy and Marine Biodiversity) and, more importantly, how the funded project is improving the lives of citizens and residents of the OCTs.  Further the tools should position the OCTs as competitive in the broader context of global environmentally sustainable human development efforts.</w:t>
      </w:r>
    </w:p>
    <w:p w14:paraId="70654B81" w14:textId="77777777" w:rsidR="00032303" w:rsidRPr="001D5FFE" w:rsidRDefault="00965302">
      <w:pPr>
        <w:pStyle w:val="BodyA"/>
        <w:suppressAutoHyphens/>
        <w:rPr>
          <w:rStyle w:val="None"/>
          <w:u w:val="single"/>
          <w:lang w:val="en-GB"/>
        </w:rPr>
      </w:pPr>
      <w:r w:rsidRPr="001D5FFE">
        <w:rPr>
          <w:lang w:val="en-GB"/>
        </w:rPr>
        <w:t>RESEMBID Programme’s C&amp;V strategy consists of two levels, with the activities distributed between RESEMBID’s Communications Unit (central level) and the grantee (project level).</w:t>
      </w:r>
    </w:p>
    <w:p w14:paraId="790E908A" w14:textId="77777777" w:rsidR="00032303" w:rsidRPr="001D5FFE" w:rsidRDefault="00032303">
      <w:pPr>
        <w:pStyle w:val="BodyA"/>
        <w:suppressAutoHyphens/>
        <w:rPr>
          <w:rStyle w:val="None"/>
          <w:u w:val="single"/>
          <w:lang w:val="en-GB"/>
        </w:rPr>
      </w:pPr>
    </w:p>
    <w:p w14:paraId="3ECC07ED" w14:textId="7B1599E4" w:rsidR="00032303" w:rsidRPr="001D5FFE" w:rsidRDefault="00965302">
      <w:pPr>
        <w:pStyle w:val="BodyA"/>
        <w:suppressAutoHyphens/>
        <w:rPr>
          <w:lang w:val="en-GB"/>
        </w:rPr>
      </w:pPr>
      <w:r w:rsidRPr="001D5FFE">
        <w:rPr>
          <w:rStyle w:val="None"/>
          <w:u w:val="single"/>
          <w:lang w:val="en-GB"/>
        </w:rPr>
        <w:t>1. Central level</w:t>
      </w:r>
      <w:r w:rsidRPr="001D5FFE">
        <w:rPr>
          <w:lang w:val="en-GB"/>
        </w:rPr>
        <w:t xml:space="preserve">: the percentage allocation assigned to RESEMBID will focus on the production of content with the singular focus of the human-interest element of the project. Working closely with the grantee, RESEMBID will focus on the sourcing and telling of stories coming out of the OCTs. This content will both be produced in conjunction and shared with individual project implementing agencies to ensure accuracy and the spirit of the OCTs. While implementing agencies will share this content within their immediate networks, RESEMBID’s dissemination outlook will centre on a broader network - the wider Caribbean, </w:t>
      </w:r>
      <w:r w:rsidR="00A948CA" w:rsidRPr="001D5FFE">
        <w:rPr>
          <w:lang w:val="en-GB"/>
        </w:rPr>
        <w:t xml:space="preserve">the </w:t>
      </w:r>
      <w:r w:rsidRPr="001D5FFE">
        <w:rPr>
          <w:lang w:val="en-GB"/>
        </w:rPr>
        <w:t xml:space="preserve">European Union and Expertise </w:t>
      </w:r>
      <w:proofErr w:type="gramStart"/>
      <w:r w:rsidRPr="001D5FFE">
        <w:rPr>
          <w:lang w:val="en-GB"/>
        </w:rPr>
        <w:t>France,  other</w:t>
      </w:r>
      <w:proofErr w:type="gramEnd"/>
      <w:r w:rsidRPr="001D5FFE">
        <w:rPr>
          <w:lang w:val="en-GB"/>
        </w:rPr>
        <w:t xml:space="preserve"> European and </w:t>
      </w:r>
      <w:r w:rsidR="008973EC" w:rsidRPr="001D5FFE">
        <w:rPr>
          <w:lang w:val="en-GB"/>
        </w:rPr>
        <w:t xml:space="preserve">key </w:t>
      </w:r>
      <w:r w:rsidRPr="001D5FFE">
        <w:rPr>
          <w:lang w:val="en-GB"/>
        </w:rPr>
        <w:t>stakeholders.</w:t>
      </w:r>
    </w:p>
    <w:p w14:paraId="3458EA70" w14:textId="77777777" w:rsidR="00032303" w:rsidRPr="001D5FFE" w:rsidRDefault="00965302">
      <w:pPr>
        <w:pStyle w:val="BodyA"/>
        <w:suppressAutoHyphens/>
        <w:rPr>
          <w:lang w:val="en-GB"/>
        </w:rPr>
      </w:pPr>
      <w:r w:rsidRPr="001D5FFE">
        <w:rPr>
          <w:lang w:val="en-GB"/>
        </w:rPr>
        <w:t xml:space="preserve">The tasks and actions performed at the central level include, </w:t>
      </w:r>
      <w:r w:rsidRPr="001D5FFE">
        <w:rPr>
          <w:rStyle w:val="None"/>
          <w:u w:val="single"/>
          <w:lang w:val="en-GB"/>
        </w:rPr>
        <w:t>but are not limited to:</w:t>
      </w:r>
    </w:p>
    <w:p w14:paraId="52268E46" w14:textId="36FE8151" w:rsidR="00032303" w:rsidRPr="001D5FFE" w:rsidRDefault="00C450C9">
      <w:pPr>
        <w:pStyle w:val="BodyA"/>
        <w:numPr>
          <w:ilvl w:val="0"/>
          <w:numId w:val="12"/>
        </w:numPr>
        <w:suppressAutoHyphens/>
        <w:rPr>
          <w:lang w:val="en-GB"/>
        </w:rPr>
      </w:pPr>
      <w:r w:rsidRPr="001D5FFE">
        <w:rPr>
          <w:lang w:val="en-GB"/>
        </w:rPr>
        <w:t>C</w:t>
      </w:r>
      <w:r w:rsidR="00965302" w:rsidRPr="001D5FFE">
        <w:rPr>
          <w:lang w:val="en-GB"/>
        </w:rPr>
        <w:t>onceptualisation and production of video content for social and digital media RESEMBID platforms as well as project implementation agency social (and other) media</w:t>
      </w:r>
    </w:p>
    <w:p w14:paraId="2C2CE720" w14:textId="3F5845CB" w:rsidR="00032303" w:rsidRPr="001D5FFE" w:rsidRDefault="00C450C9">
      <w:pPr>
        <w:pStyle w:val="BodyA"/>
        <w:numPr>
          <w:ilvl w:val="0"/>
          <w:numId w:val="12"/>
        </w:numPr>
        <w:suppressAutoHyphens/>
        <w:rPr>
          <w:lang w:val="en-GB"/>
        </w:rPr>
      </w:pPr>
      <w:r w:rsidRPr="001D5FFE">
        <w:rPr>
          <w:lang w:val="en-GB"/>
        </w:rPr>
        <w:t>P</w:t>
      </w:r>
      <w:r w:rsidR="00965302" w:rsidRPr="001D5FFE">
        <w:rPr>
          <w:lang w:val="en-GB"/>
        </w:rPr>
        <w:t>ress releases for publication across RESEMBID platforms and for distribution to overseas partners</w:t>
      </w:r>
      <w:r w:rsidR="0027085A" w:rsidRPr="001D5FFE">
        <w:rPr>
          <w:lang w:val="en-GB"/>
        </w:rPr>
        <w:t>.</w:t>
      </w:r>
      <w:r w:rsidR="00965302" w:rsidRPr="001D5FFE">
        <w:rPr>
          <w:lang w:val="en-GB"/>
        </w:rPr>
        <w:t xml:space="preserve"> </w:t>
      </w:r>
    </w:p>
    <w:p w14:paraId="51AB8C58" w14:textId="7C3643F2" w:rsidR="00032303" w:rsidRPr="001D5FFE" w:rsidRDefault="00965302">
      <w:pPr>
        <w:pStyle w:val="BodyA"/>
        <w:numPr>
          <w:ilvl w:val="0"/>
          <w:numId w:val="12"/>
        </w:numPr>
        <w:suppressAutoHyphens/>
        <w:rPr>
          <w:lang w:val="en-GB"/>
        </w:rPr>
      </w:pPr>
      <w:r w:rsidRPr="001D5FFE">
        <w:rPr>
          <w:lang w:val="en-GB"/>
        </w:rPr>
        <w:t>Progress updates as captured in internal or targeted RESEMBID communications products such as the Letter from the Director, PowerPoint presentation</w:t>
      </w:r>
      <w:r w:rsidR="0065145B" w:rsidRPr="001D5FFE">
        <w:rPr>
          <w:lang w:val="en-GB"/>
        </w:rPr>
        <w:t>s</w:t>
      </w:r>
      <w:r w:rsidRPr="001D5FFE">
        <w:rPr>
          <w:lang w:val="en-GB"/>
        </w:rPr>
        <w:t xml:space="preserve">, infographics, website communication </w:t>
      </w:r>
      <w:r w:rsidR="0065145B" w:rsidRPr="001D5FFE">
        <w:rPr>
          <w:lang w:val="en-GB"/>
        </w:rPr>
        <w:t>etc</w:t>
      </w:r>
    </w:p>
    <w:p w14:paraId="0836AE35" w14:textId="77777777" w:rsidR="00965302" w:rsidRPr="001D5FFE" w:rsidRDefault="00965302" w:rsidP="00D0726D">
      <w:pPr>
        <w:pStyle w:val="BodyA"/>
        <w:suppressAutoHyphens/>
        <w:ind w:left="158"/>
        <w:rPr>
          <w:lang w:val="en-GB"/>
        </w:rPr>
      </w:pPr>
    </w:p>
    <w:p w14:paraId="3D33DE04" w14:textId="48D9A861" w:rsidR="00032303" w:rsidRPr="001D5FFE" w:rsidRDefault="00965302">
      <w:pPr>
        <w:pStyle w:val="BodyA"/>
        <w:suppressAutoHyphens/>
        <w:rPr>
          <w:lang w:val="en-GB"/>
        </w:rPr>
      </w:pPr>
      <w:r w:rsidRPr="001D5FFE">
        <w:rPr>
          <w:rStyle w:val="None"/>
          <w:u w:val="single"/>
          <w:lang w:val="en-GB"/>
        </w:rPr>
        <w:t>2. Project level</w:t>
      </w:r>
      <w:r w:rsidRPr="001D5FFE">
        <w:rPr>
          <w:lang w:val="en-GB"/>
        </w:rPr>
        <w:t xml:space="preserve">: upon successful award of communications funding, the grantee will lead the effort to communicate the benefits of its project, particularly at a national level and with its direct stakeholders. The grantee will be required to account to RESEMBID during the life of </w:t>
      </w:r>
      <w:r w:rsidR="005627B7" w:rsidRPr="001D5FFE">
        <w:rPr>
          <w:lang w:val="en-GB"/>
        </w:rPr>
        <w:t xml:space="preserve">the </w:t>
      </w:r>
      <w:r w:rsidRPr="001D5FFE">
        <w:rPr>
          <w:lang w:val="en-GB"/>
        </w:rPr>
        <w:t xml:space="preserve">approved project and </w:t>
      </w:r>
      <w:r w:rsidR="00FD6F85" w:rsidRPr="001D5FFE">
        <w:rPr>
          <w:lang w:val="en-GB"/>
        </w:rPr>
        <w:t xml:space="preserve">will be </w:t>
      </w:r>
      <w:r w:rsidRPr="001D5FFE">
        <w:rPr>
          <w:lang w:val="en-GB"/>
        </w:rPr>
        <w:t>subject to reporting requirements to be shared on award</w:t>
      </w:r>
      <w:r w:rsidR="0034474A" w:rsidRPr="001D5FFE">
        <w:rPr>
          <w:lang w:val="en-GB"/>
        </w:rPr>
        <w:t xml:space="preserve"> of the grant.</w:t>
      </w:r>
    </w:p>
    <w:p w14:paraId="09D91553" w14:textId="77777777" w:rsidR="00032303" w:rsidRPr="001D5FFE" w:rsidRDefault="00965302">
      <w:pPr>
        <w:pStyle w:val="BodyA"/>
        <w:suppressAutoHyphens/>
        <w:rPr>
          <w:rStyle w:val="None"/>
          <w:u w:val="single"/>
          <w:lang w:val="en-GB"/>
        </w:rPr>
      </w:pPr>
      <w:r w:rsidRPr="001D5FFE">
        <w:rPr>
          <w:lang w:val="en-GB"/>
        </w:rPr>
        <w:lastRenderedPageBreak/>
        <w:t xml:space="preserve">The tasks and actions performed at the project level include, </w:t>
      </w:r>
      <w:r w:rsidRPr="001D5FFE">
        <w:rPr>
          <w:rStyle w:val="None"/>
          <w:u w:val="single"/>
          <w:lang w:val="en-GB"/>
        </w:rPr>
        <w:t>but are not limited to:</w:t>
      </w:r>
    </w:p>
    <w:p w14:paraId="6813CAC5" w14:textId="611D68AE" w:rsidR="00032303" w:rsidRPr="001D5FFE" w:rsidRDefault="00965302">
      <w:pPr>
        <w:pStyle w:val="BodyA"/>
        <w:numPr>
          <w:ilvl w:val="0"/>
          <w:numId w:val="12"/>
        </w:numPr>
        <w:suppressAutoHyphens/>
        <w:rPr>
          <w:lang w:val="en-GB"/>
        </w:rPr>
      </w:pPr>
      <w:r w:rsidRPr="001D5FFE">
        <w:rPr>
          <w:lang w:val="en-GB"/>
        </w:rPr>
        <w:t>Press releases for publication across local media</w:t>
      </w:r>
    </w:p>
    <w:p w14:paraId="5A56DB8E" w14:textId="4D1A2713" w:rsidR="00032303" w:rsidRPr="001D5FFE" w:rsidRDefault="00965302">
      <w:pPr>
        <w:pStyle w:val="BodyA"/>
        <w:numPr>
          <w:ilvl w:val="0"/>
          <w:numId w:val="12"/>
        </w:numPr>
        <w:suppressAutoHyphens/>
        <w:rPr>
          <w:lang w:val="en-GB"/>
        </w:rPr>
      </w:pPr>
      <w:r w:rsidRPr="001D5FFE">
        <w:rPr>
          <w:lang w:val="en-GB"/>
        </w:rPr>
        <w:t>Press conferences/briefings</w:t>
      </w:r>
    </w:p>
    <w:p w14:paraId="5131B751" w14:textId="37D2DA38" w:rsidR="00032303" w:rsidRPr="001D5FFE" w:rsidRDefault="00965302">
      <w:pPr>
        <w:pStyle w:val="BodyA"/>
        <w:numPr>
          <w:ilvl w:val="0"/>
          <w:numId w:val="12"/>
        </w:numPr>
        <w:suppressAutoHyphens/>
        <w:rPr>
          <w:lang w:val="en-GB"/>
        </w:rPr>
      </w:pPr>
      <w:r w:rsidRPr="001D5FFE">
        <w:rPr>
          <w:lang w:val="en-GB"/>
        </w:rPr>
        <w:t xml:space="preserve">Conceptualisation and production </w:t>
      </w:r>
      <w:r w:rsidR="00DE0BA3" w:rsidRPr="001D5FFE">
        <w:rPr>
          <w:lang w:val="en-GB"/>
        </w:rPr>
        <w:t>o</w:t>
      </w:r>
      <w:r w:rsidRPr="001D5FFE">
        <w:rPr>
          <w:lang w:val="en-GB"/>
        </w:rPr>
        <w:t xml:space="preserve">f material for other forms of traditional, local media (newspaper articles, radio and television commercials, radio segment (paid for or organic reach), </w:t>
      </w:r>
      <w:r w:rsidR="008601CD" w:rsidRPr="001D5FFE">
        <w:rPr>
          <w:lang w:val="en-GB"/>
        </w:rPr>
        <w:t xml:space="preserve">town-criers, </w:t>
      </w:r>
      <w:r w:rsidRPr="001D5FFE">
        <w:rPr>
          <w:lang w:val="en-GB"/>
        </w:rPr>
        <w:t>billboards, feather banners, step-and-repeat and pull up banners</w:t>
      </w:r>
    </w:p>
    <w:p w14:paraId="7B528B5E" w14:textId="3D819821" w:rsidR="00032303" w:rsidRPr="001D5FFE" w:rsidRDefault="00965302">
      <w:pPr>
        <w:pStyle w:val="BodyA"/>
        <w:numPr>
          <w:ilvl w:val="0"/>
          <w:numId w:val="12"/>
        </w:numPr>
        <w:suppressAutoHyphens/>
        <w:rPr>
          <w:lang w:val="en-GB"/>
        </w:rPr>
      </w:pPr>
      <w:r w:rsidRPr="001D5FFE">
        <w:rPr>
          <w:lang w:val="en-GB"/>
        </w:rPr>
        <w:t>In-person stakeholder outreach such as townhall events, focus groups and all other training/sensitisation activities</w:t>
      </w:r>
    </w:p>
    <w:p w14:paraId="28B99966" w14:textId="77777777" w:rsidR="00032303" w:rsidRPr="001D5FFE" w:rsidRDefault="00032303">
      <w:pPr>
        <w:pStyle w:val="BodyA"/>
        <w:suppressAutoHyphens/>
        <w:rPr>
          <w:lang w:val="en-GB"/>
        </w:rPr>
      </w:pPr>
    </w:p>
    <w:p w14:paraId="733EA875" w14:textId="77777777" w:rsidR="00032303" w:rsidRPr="001D5FFE" w:rsidRDefault="00965302">
      <w:pPr>
        <w:pStyle w:val="BodyA"/>
        <w:suppressAutoHyphens/>
        <w:rPr>
          <w:lang w:val="en-GB"/>
        </w:rPr>
      </w:pPr>
      <w:r w:rsidRPr="001D5FFE">
        <w:rPr>
          <w:lang w:val="en-GB"/>
        </w:rPr>
        <w:t>The grantee is required to communicate ALL C&amp;V actions with RESEMBID’s Communications Unit. No material under either of the two communication levels (mentioned above) is authorised for publication/application without a written consent on and approval of the final version of the product from the RESEMBID Communications Unit.</w:t>
      </w:r>
    </w:p>
    <w:p w14:paraId="45D17881" w14:textId="77777777" w:rsidR="00032303" w:rsidRPr="001D5FFE" w:rsidRDefault="00965302">
      <w:pPr>
        <w:pStyle w:val="BodyA"/>
        <w:suppressAutoHyphens/>
        <w:rPr>
          <w:rStyle w:val="None"/>
          <w:rFonts w:eastAsia="Calibri"/>
          <w:lang w:val="en-GB"/>
        </w:rPr>
      </w:pPr>
      <w:r w:rsidRPr="001D5FFE">
        <w:rPr>
          <w:lang w:val="en-GB"/>
        </w:rPr>
        <w:t>Division of tasks and activities and distribution of the C&amp;V budget between the central and project level is determined during the process of budget negotiations, with direct involvement of the implementation partner/s and RESEMBID Communications Unit, with assistance from RESEMBID’s Grant Management Unit.</w:t>
      </w:r>
    </w:p>
    <w:p w14:paraId="1008CB34" w14:textId="77777777" w:rsidR="00032303" w:rsidRPr="001D5FFE" w:rsidRDefault="00032303">
      <w:pPr>
        <w:pStyle w:val="Titre2"/>
        <w:keepNext w:val="0"/>
        <w:keepLines w:val="0"/>
        <w:suppressAutoHyphens/>
        <w:spacing w:before="0" w:after="160" w:line="276" w:lineRule="auto"/>
        <w:outlineLvl w:val="9"/>
        <w:rPr>
          <w:rFonts w:ascii="Arial" w:eastAsia="Calibri" w:hAnsi="Arial" w:cs="Arial"/>
          <w:b w:val="0"/>
          <w:bCs w:val="0"/>
          <w:sz w:val="20"/>
          <w:szCs w:val="20"/>
          <w:lang w:val="en-GB"/>
        </w:rPr>
      </w:pPr>
    </w:p>
    <w:p w14:paraId="3C68314E" w14:textId="77777777" w:rsidR="00032303" w:rsidRPr="001D5FFE" w:rsidRDefault="00965302">
      <w:pPr>
        <w:pStyle w:val="Heading"/>
        <w:suppressAutoHyphens/>
        <w:rPr>
          <w:rFonts w:cs="Arial"/>
          <w:color w:val="002060"/>
          <w:lang w:val="en-GB"/>
        </w:rPr>
      </w:pPr>
      <w:r w:rsidRPr="001D5FFE">
        <w:rPr>
          <w:rFonts w:cs="Arial"/>
          <w:color w:val="002060"/>
          <w:lang w:val="en-GB"/>
        </w:rPr>
        <w:t>Communication</w:t>
      </w:r>
    </w:p>
    <w:p w14:paraId="043845A5" w14:textId="77777777" w:rsidR="00032303" w:rsidRPr="001D5FFE" w:rsidRDefault="00965302">
      <w:pPr>
        <w:pStyle w:val="BodyA"/>
        <w:suppressAutoHyphens/>
        <w:rPr>
          <w:lang w:val="en-GB"/>
        </w:rPr>
      </w:pPr>
      <w:r w:rsidRPr="001D5FFE">
        <w:rPr>
          <w:lang w:val="en-GB"/>
        </w:rPr>
        <w:t xml:space="preserve">The general public is the primary target audience in all communication actions and individual tasks performed as a part of a grant contract. This goes both for persons directly impacted in OCTs as well as for the citizens of the European Union. </w:t>
      </w:r>
    </w:p>
    <w:p w14:paraId="7DD48947" w14:textId="77777777" w:rsidR="00032303" w:rsidRPr="001D5FFE" w:rsidRDefault="00965302">
      <w:pPr>
        <w:pStyle w:val="BodyA"/>
        <w:suppressAutoHyphens/>
        <w:rPr>
          <w:lang w:val="en-GB"/>
        </w:rPr>
      </w:pPr>
      <w:r w:rsidRPr="001D5FFE">
        <w:rPr>
          <w:lang w:val="en-GB"/>
        </w:rPr>
        <w:t>C&amp;V activities are an integral part of every action funded by the EU, and their implementation is required throughout the duration of the project, from the inception activities through to the closure of the project. This will enable meaningful and cost-effective activities, leading to the successful achievement of EU’s C&amp;V goals.</w:t>
      </w:r>
    </w:p>
    <w:p w14:paraId="268FFC28" w14:textId="77777777" w:rsidR="00965302" w:rsidRPr="001D5FFE" w:rsidRDefault="00965302">
      <w:pPr>
        <w:pStyle w:val="BodyA"/>
        <w:suppressAutoHyphens/>
        <w:rPr>
          <w:lang w:val="en-GB"/>
        </w:rPr>
      </w:pPr>
    </w:p>
    <w:p w14:paraId="5DA36DCA" w14:textId="34C5E286" w:rsidR="00032303" w:rsidRPr="001D5FFE" w:rsidRDefault="00965302">
      <w:pPr>
        <w:pStyle w:val="BodyA"/>
        <w:suppressAutoHyphens/>
        <w:rPr>
          <w:lang w:val="en-GB"/>
        </w:rPr>
      </w:pPr>
      <w:r w:rsidRPr="001D5FFE">
        <w:rPr>
          <w:lang w:val="en-GB"/>
        </w:rPr>
        <w:t>The activities span over all forms of communication:</w:t>
      </w:r>
    </w:p>
    <w:p w14:paraId="61B7C81B" w14:textId="1014DC92" w:rsidR="00032303" w:rsidRPr="001D5FFE" w:rsidRDefault="00247137">
      <w:pPr>
        <w:pStyle w:val="ListParagraph"/>
        <w:numPr>
          <w:ilvl w:val="0"/>
          <w:numId w:val="12"/>
        </w:numPr>
        <w:suppressAutoHyphens/>
        <w:spacing w:before="0" w:after="160" w:line="259" w:lineRule="auto"/>
        <w:jc w:val="left"/>
        <w:rPr>
          <w:rFonts w:cs="Arial"/>
          <w:lang w:val="en-GB"/>
        </w:rPr>
      </w:pPr>
      <w:r w:rsidRPr="001D5FFE">
        <w:rPr>
          <w:rFonts w:cs="Arial"/>
          <w:lang w:val="en-GB"/>
        </w:rPr>
        <w:t>T</w:t>
      </w:r>
      <w:r w:rsidR="00965302" w:rsidRPr="001D5FFE">
        <w:rPr>
          <w:rFonts w:cs="Arial"/>
          <w:lang w:val="en-GB"/>
        </w:rPr>
        <w:t>raditional media</w:t>
      </w:r>
    </w:p>
    <w:p w14:paraId="628498F6" w14:textId="42166967" w:rsidR="00032303" w:rsidRPr="001D5FFE" w:rsidRDefault="00247137">
      <w:pPr>
        <w:pStyle w:val="ListParagraph"/>
        <w:numPr>
          <w:ilvl w:val="0"/>
          <w:numId w:val="12"/>
        </w:numPr>
        <w:suppressAutoHyphens/>
        <w:spacing w:before="0" w:after="160" w:line="259" w:lineRule="auto"/>
        <w:jc w:val="left"/>
        <w:rPr>
          <w:rFonts w:cs="Arial"/>
          <w:lang w:val="en-GB"/>
        </w:rPr>
      </w:pPr>
      <w:r w:rsidRPr="001D5FFE">
        <w:rPr>
          <w:rFonts w:cs="Arial"/>
          <w:lang w:val="en-GB"/>
        </w:rPr>
        <w:t>D</w:t>
      </w:r>
      <w:r w:rsidR="00965302" w:rsidRPr="001D5FFE">
        <w:rPr>
          <w:rFonts w:cs="Arial"/>
          <w:lang w:val="en-GB"/>
        </w:rPr>
        <w:t>igital media</w:t>
      </w:r>
    </w:p>
    <w:p w14:paraId="13ECF774" w14:textId="6DDAA570" w:rsidR="00032303" w:rsidRPr="001D5FFE" w:rsidRDefault="00247137">
      <w:pPr>
        <w:pStyle w:val="ListParagraph"/>
        <w:numPr>
          <w:ilvl w:val="0"/>
          <w:numId w:val="12"/>
        </w:numPr>
        <w:suppressAutoHyphens/>
        <w:spacing w:before="0" w:after="160" w:line="259" w:lineRule="auto"/>
        <w:jc w:val="left"/>
        <w:rPr>
          <w:rFonts w:cs="Arial"/>
          <w:lang w:val="en-GB"/>
        </w:rPr>
      </w:pPr>
      <w:r w:rsidRPr="001D5FFE">
        <w:rPr>
          <w:rFonts w:cs="Arial"/>
          <w:lang w:val="en-GB"/>
        </w:rPr>
        <w:t>A</w:t>
      </w:r>
      <w:r w:rsidR="00965302" w:rsidRPr="001D5FFE">
        <w:rPr>
          <w:rFonts w:cs="Arial"/>
          <w:lang w:val="en-GB"/>
        </w:rPr>
        <w:t>udio-visual materials</w:t>
      </w:r>
    </w:p>
    <w:p w14:paraId="04DDC7B4" w14:textId="5F25D5E9" w:rsidR="00032303" w:rsidRPr="001D5FFE" w:rsidRDefault="00247137">
      <w:pPr>
        <w:pStyle w:val="ListParagraph"/>
        <w:numPr>
          <w:ilvl w:val="0"/>
          <w:numId w:val="12"/>
        </w:numPr>
        <w:suppressAutoHyphens/>
        <w:spacing w:before="0" w:after="160" w:line="259" w:lineRule="auto"/>
        <w:jc w:val="left"/>
        <w:rPr>
          <w:rFonts w:cs="Arial"/>
          <w:lang w:val="en-GB"/>
        </w:rPr>
      </w:pPr>
      <w:r w:rsidRPr="001D5FFE">
        <w:rPr>
          <w:rFonts w:cs="Arial"/>
          <w:lang w:val="en-GB"/>
        </w:rPr>
        <w:t>P</w:t>
      </w:r>
      <w:r w:rsidR="00965302" w:rsidRPr="001D5FFE">
        <w:rPr>
          <w:rFonts w:cs="Arial"/>
          <w:lang w:val="en-GB"/>
        </w:rPr>
        <w:t>rinted materials (mitigating the negative environmental impact of printing wherever possible)</w:t>
      </w:r>
      <w:r w:rsidR="0036313B" w:rsidRPr="001D5FFE">
        <w:rPr>
          <w:rFonts w:cs="Arial"/>
          <w:lang w:val="en-GB"/>
        </w:rPr>
        <w:t>.</w:t>
      </w:r>
    </w:p>
    <w:p w14:paraId="4B42FE76" w14:textId="77777777" w:rsidR="00032303" w:rsidRPr="001D5FFE" w:rsidRDefault="00032303">
      <w:pPr>
        <w:pStyle w:val="ListParagraph"/>
        <w:suppressAutoHyphens/>
        <w:spacing w:before="0" w:after="160" w:line="259" w:lineRule="auto"/>
        <w:ind w:left="0"/>
        <w:jc w:val="left"/>
        <w:rPr>
          <w:rFonts w:cs="Arial"/>
          <w:lang w:val="en-GB"/>
        </w:rPr>
      </w:pPr>
    </w:p>
    <w:p w14:paraId="6428C5F0" w14:textId="5ADB5197" w:rsidR="00032303" w:rsidRPr="001D5FFE" w:rsidRDefault="00965302">
      <w:pPr>
        <w:pStyle w:val="BodyA"/>
        <w:suppressAutoHyphens/>
        <w:rPr>
          <w:rStyle w:val="None"/>
          <w:b/>
          <w:bCs/>
          <w:color w:val="002060"/>
          <w:u w:color="297694"/>
          <w:lang w:val="en-GB"/>
        </w:rPr>
      </w:pPr>
      <w:r w:rsidRPr="001D5FFE">
        <w:rPr>
          <w:rStyle w:val="None"/>
          <w:b/>
          <w:bCs/>
          <w:color w:val="002060"/>
          <w:u w:color="297694"/>
          <w:lang w:val="en-GB"/>
        </w:rPr>
        <w:t xml:space="preserve">Best Practices </w:t>
      </w:r>
      <w:r w:rsidR="00D0726D" w:rsidRPr="001D5FFE">
        <w:rPr>
          <w:rStyle w:val="None"/>
          <w:b/>
          <w:bCs/>
          <w:color w:val="002060"/>
          <w:u w:color="297694"/>
          <w:lang w:val="en-GB"/>
        </w:rPr>
        <w:t>f</w:t>
      </w:r>
      <w:r w:rsidRPr="001D5FFE">
        <w:rPr>
          <w:rStyle w:val="None"/>
          <w:b/>
          <w:bCs/>
          <w:color w:val="002060"/>
          <w:u w:color="297694"/>
          <w:lang w:val="en-GB"/>
        </w:rPr>
        <w:t xml:space="preserve">or Information Sharing </w:t>
      </w:r>
      <w:r w:rsidR="00D0726D" w:rsidRPr="001D5FFE">
        <w:rPr>
          <w:rStyle w:val="None"/>
          <w:b/>
          <w:bCs/>
          <w:color w:val="002060"/>
          <w:u w:color="297694"/>
          <w:lang w:val="en-GB"/>
        </w:rPr>
        <w:t>w</w:t>
      </w:r>
      <w:r w:rsidRPr="001D5FFE">
        <w:rPr>
          <w:rStyle w:val="None"/>
          <w:b/>
          <w:bCs/>
          <w:color w:val="002060"/>
          <w:u w:color="297694"/>
          <w:lang w:val="en-GB"/>
        </w:rPr>
        <w:t xml:space="preserve">ith RESEMBID Communications </w:t>
      </w:r>
    </w:p>
    <w:p w14:paraId="0B3E768F" w14:textId="77777777" w:rsidR="00032303" w:rsidRPr="001D5FFE" w:rsidRDefault="00032303">
      <w:pPr>
        <w:pStyle w:val="BodyA"/>
        <w:suppressAutoHyphens/>
        <w:rPr>
          <w:rStyle w:val="None"/>
          <w:b/>
          <w:bCs/>
          <w:u w:val="single"/>
          <w:lang w:val="en-GB"/>
        </w:rPr>
      </w:pPr>
    </w:p>
    <w:p w14:paraId="765714C7" w14:textId="77777777" w:rsidR="00032303" w:rsidRPr="001D5FFE" w:rsidRDefault="00965302">
      <w:pPr>
        <w:pStyle w:val="BodyA"/>
        <w:suppressAutoHyphens/>
        <w:rPr>
          <w:lang w:val="en-GB"/>
        </w:rPr>
      </w:pPr>
      <w:r w:rsidRPr="001D5FFE">
        <w:rPr>
          <w:lang w:val="en-GB"/>
        </w:rPr>
        <w:t xml:space="preserve">In the first instance, all activities must be shared with RESEMBID’s Communications Unit for approval of concept and implementation. </w:t>
      </w:r>
    </w:p>
    <w:p w14:paraId="05C5056A" w14:textId="171CE19D" w:rsidR="00032303" w:rsidRPr="001D5FFE" w:rsidRDefault="00407741">
      <w:pPr>
        <w:pStyle w:val="BodyA"/>
        <w:suppressAutoHyphens/>
        <w:rPr>
          <w:lang w:val="en-GB"/>
        </w:rPr>
      </w:pPr>
      <w:r w:rsidRPr="001D5FFE">
        <w:rPr>
          <w:lang w:val="en-GB"/>
        </w:rPr>
        <w:t>Below,</w:t>
      </w:r>
      <w:r w:rsidR="00965302" w:rsidRPr="001D5FFE">
        <w:rPr>
          <w:lang w:val="en-GB"/>
        </w:rPr>
        <w:t xml:space="preserve"> in brief, are some best practices for information sharing with </w:t>
      </w:r>
      <w:r w:rsidR="003F1BA6" w:rsidRPr="001D5FFE">
        <w:rPr>
          <w:lang w:val="en-GB"/>
        </w:rPr>
        <w:t xml:space="preserve">the </w:t>
      </w:r>
      <w:r w:rsidR="00965302" w:rsidRPr="001D5FFE">
        <w:rPr>
          <w:lang w:val="en-GB"/>
        </w:rPr>
        <w:t xml:space="preserve">RESEMBID Communications Unit: </w:t>
      </w:r>
    </w:p>
    <w:p w14:paraId="726D755E" w14:textId="2FB5EE66" w:rsidR="00032303" w:rsidRPr="001D5FFE" w:rsidRDefault="00965302" w:rsidP="00FD6F85">
      <w:pPr>
        <w:pStyle w:val="BodyA"/>
        <w:numPr>
          <w:ilvl w:val="0"/>
          <w:numId w:val="18"/>
        </w:numPr>
        <w:suppressAutoHyphens/>
        <w:jc w:val="left"/>
        <w:rPr>
          <w:lang w:val="en-GB"/>
        </w:rPr>
      </w:pPr>
      <w:r w:rsidRPr="001D5FFE">
        <w:rPr>
          <w:lang w:val="en-GB"/>
        </w:rPr>
        <w:t>Send photos of your project</w:t>
      </w:r>
      <w:r w:rsidRPr="001D5FFE">
        <w:rPr>
          <w:rStyle w:val="None"/>
          <w:rFonts w:eastAsia="Arial Unicode MS"/>
          <w:lang w:val="en-GB"/>
        </w:rPr>
        <w:br/>
      </w:r>
    </w:p>
    <w:p w14:paraId="6C3C8A63" w14:textId="718792AC" w:rsidR="00032303" w:rsidRPr="001D5FFE" w:rsidRDefault="00965302" w:rsidP="00FD6F85">
      <w:pPr>
        <w:pStyle w:val="BodyA"/>
        <w:numPr>
          <w:ilvl w:val="0"/>
          <w:numId w:val="18"/>
        </w:numPr>
        <w:suppressAutoHyphens/>
        <w:jc w:val="left"/>
        <w:rPr>
          <w:lang w:val="en-GB"/>
        </w:rPr>
      </w:pPr>
      <w:r w:rsidRPr="001D5FFE">
        <w:rPr>
          <w:lang w:val="en-GB"/>
        </w:rPr>
        <w:t>Send advance notification of planned events</w:t>
      </w:r>
    </w:p>
    <w:p w14:paraId="6995DFE3" w14:textId="77777777" w:rsidR="00032303" w:rsidRPr="001D5FFE" w:rsidRDefault="00032303" w:rsidP="005E0CDB">
      <w:pPr>
        <w:pStyle w:val="BodyA"/>
        <w:suppressAutoHyphens/>
        <w:jc w:val="left"/>
        <w:rPr>
          <w:lang w:val="en-GB"/>
        </w:rPr>
      </w:pPr>
    </w:p>
    <w:p w14:paraId="35BB0545" w14:textId="7912C598" w:rsidR="00032303" w:rsidRPr="001D5FFE" w:rsidRDefault="00965302" w:rsidP="00FD6F85">
      <w:pPr>
        <w:pStyle w:val="BodyA"/>
        <w:numPr>
          <w:ilvl w:val="0"/>
          <w:numId w:val="18"/>
        </w:numPr>
        <w:suppressAutoHyphens/>
        <w:jc w:val="left"/>
        <w:rPr>
          <w:lang w:val="en-GB"/>
        </w:rPr>
      </w:pPr>
      <w:r w:rsidRPr="001D5FFE">
        <w:rPr>
          <w:lang w:val="en-GB"/>
        </w:rPr>
        <w:t>Send press releases and distribution list as prepared</w:t>
      </w:r>
    </w:p>
    <w:p w14:paraId="62C600EE" w14:textId="77777777" w:rsidR="00032303" w:rsidRPr="001D5FFE" w:rsidRDefault="00032303" w:rsidP="00FD6F85">
      <w:pPr>
        <w:pStyle w:val="BodyA"/>
        <w:suppressAutoHyphens/>
        <w:jc w:val="left"/>
        <w:rPr>
          <w:lang w:val="en-GB"/>
        </w:rPr>
      </w:pPr>
    </w:p>
    <w:p w14:paraId="611E94A2" w14:textId="603354D3" w:rsidR="00032303" w:rsidRPr="001D5FFE" w:rsidRDefault="00965302" w:rsidP="00FD6F85">
      <w:pPr>
        <w:pStyle w:val="BodyA"/>
        <w:numPr>
          <w:ilvl w:val="0"/>
          <w:numId w:val="18"/>
        </w:numPr>
        <w:suppressAutoHyphens/>
        <w:jc w:val="left"/>
        <w:rPr>
          <w:lang w:val="en-GB"/>
        </w:rPr>
      </w:pPr>
      <w:r w:rsidRPr="001D5FFE">
        <w:rPr>
          <w:lang w:val="en-GB"/>
        </w:rPr>
        <w:t>Use the reporting templates provided (annexed) to prepare a summary of press, traditional and social media coverage and all other C&amp;V activities</w:t>
      </w:r>
      <w:r w:rsidRPr="001D5FFE">
        <w:rPr>
          <w:rStyle w:val="None"/>
          <w:rFonts w:eastAsia="Arial Unicode MS"/>
          <w:lang w:val="en-GB"/>
        </w:rPr>
        <w:br/>
      </w:r>
    </w:p>
    <w:p w14:paraId="6D38F373" w14:textId="77777777" w:rsidR="00032303" w:rsidRPr="001D5FFE" w:rsidRDefault="00965302">
      <w:pPr>
        <w:pStyle w:val="Heading"/>
        <w:suppressAutoHyphens/>
        <w:rPr>
          <w:rStyle w:val="None"/>
          <w:rFonts w:cs="Arial"/>
          <w:color w:val="002060"/>
          <w:u w:val="single"/>
          <w:lang w:val="en-GB"/>
        </w:rPr>
      </w:pPr>
      <w:r w:rsidRPr="001D5FFE">
        <w:rPr>
          <w:rStyle w:val="None"/>
          <w:rFonts w:cs="Arial"/>
          <w:color w:val="002060"/>
          <w:u w:val="single"/>
          <w:lang w:val="en-GB"/>
        </w:rPr>
        <w:t xml:space="preserve">Communications Products </w:t>
      </w:r>
    </w:p>
    <w:p w14:paraId="3CE0727F" w14:textId="77777777" w:rsidR="00032303" w:rsidRPr="001D5FFE" w:rsidRDefault="00032303">
      <w:pPr>
        <w:pStyle w:val="BodyA"/>
        <w:suppressAutoHyphens/>
        <w:rPr>
          <w:lang w:val="en-GB"/>
        </w:rPr>
      </w:pPr>
    </w:p>
    <w:p w14:paraId="09954563" w14:textId="77777777" w:rsidR="00032303" w:rsidRPr="001D5FFE" w:rsidRDefault="00965302">
      <w:pPr>
        <w:pStyle w:val="BodyA"/>
        <w:suppressAutoHyphens/>
        <w:rPr>
          <w:lang w:val="en-GB"/>
        </w:rPr>
      </w:pPr>
      <w:r w:rsidRPr="001D5FFE">
        <w:rPr>
          <w:lang w:val="en-GB"/>
        </w:rPr>
        <w:t xml:space="preserve">There are a myriad of communications approaches possible for use in disseminating information about individual projects. The below are indicative and do not represent an exhaustive list of products to be used. </w:t>
      </w:r>
    </w:p>
    <w:p w14:paraId="3E9392E0" w14:textId="77777777" w:rsidR="00032303" w:rsidRPr="001D5FFE" w:rsidRDefault="00032303">
      <w:pPr>
        <w:pStyle w:val="BodyA"/>
        <w:suppressAutoHyphens/>
        <w:rPr>
          <w:lang w:val="en-GB"/>
        </w:rPr>
      </w:pPr>
    </w:p>
    <w:p w14:paraId="3E765FC9" w14:textId="77777777" w:rsidR="00032303" w:rsidRPr="001D5FFE" w:rsidRDefault="00965302">
      <w:pPr>
        <w:pStyle w:val="Heading"/>
        <w:suppressAutoHyphens/>
        <w:rPr>
          <w:rStyle w:val="None"/>
          <w:rFonts w:cs="Arial"/>
          <w:color w:val="002060"/>
          <w:u w:val="single"/>
          <w:lang w:val="en-GB"/>
        </w:rPr>
      </w:pPr>
      <w:r w:rsidRPr="001D5FFE">
        <w:rPr>
          <w:rFonts w:cs="Arial"/>
          <w:color w:val="002060"/>
          <w:lang w:val="en-GB"/>
        </w:rPr>
        <w:t>Websites</w:t>
      </w:r>
    </w:p>
    <w:p w14:paraId="5E4575A3" w14:textId="77777777" w:rsidR="00032303" w:rsidRPr="001D5FFE" w:rsidRDefault="00032303">
      <w:pPr>
        <w:pStyle w:val="BodyA"/>
        <w:suppressAutoHyphens/>
        <w:rPr>
          <w:lang w:val="en-GB"/>
        </w:rPr>
      </w:pPr>
    </w:p>
    <w:p w14:paraId="29BEE354" w14:textId="2C49FF31" w:rsidR="00032303" w:rsidRPr="001D5FFE" w:rsidRDefault="00E50FC0">
      <w:pPr>
        <w:pStyle w:val="BodyA"/>
        <w:suppressAutoHyphens/>
        <w:rPr>
          <w:lang w:val="en-GB"/>
        </w:rPr>
      </w:pPr>
      <w:r w:rsidRPr="001D5FFE">
        <w:rPr>
          <w:lang w:val="en-GB"/>
        </w:rPr>
        <w:t>P</w:t>
      </w:r>
      <w:r w:rsidR="00965302" w:rsidRPr="001D5FFE">
        <w:rPr>
          <w:lang w:val="en-GB"/>
        </w:rPr>
        <w:t xml:space="preserve">roject teams </w:t>
      </w:r>
      <w:r w:rsidRPr="001D5FFE">
        <w:rPr>
          <w:lang w:val="en-GB"/>
        </w:rPr>
        <w:t xml:space="preserve">may </w:t>
      </w:r>
      <w:r w:rsidR="00965302" w:rsidRPr="001D5FFE">
        <w:rPr>
          <w:lang w:val="en-GB"/>
        </w:rPr>
        <w:t>choose to develop dedicated websites to or include information on existing websites about projects funded under RESEMBID</w:t>
      </w:r>
      <w:r w:rsidR="0054061F" w:rsidRPr="001D5FFE">
        <w:rPr>
          <w:lang w:val="en-GB"/>
        </w:rPr>
        <w:t>.</w:t>
      </w:r>
      <w:r w:rsidR="00965302" w:rsidRPr="001D5FFE">
        <w:rPr>
          <w:lang w:val="en-GB"/>
        </w:rPr>
        <w:t xml:space="preserve"> </w:t>
      </w:r>
    </w:p>
    <w:p w14:paraId="1B23E3B0" w14:textId="77777777" w:rsidR="00032303" w:rsidRPr="001D5FFE" w:rsidRDefault="00965302">
      <w:pPr>
        <w:pStyle w:val="BodyA"/>
        <w:suppressAutoHyphens/>
        <w:rPr>
          <w:lang w:val="en-GB"/>
        </w:rPr>
      </w:pPr>
      <w:r w:rsidRPr="001D5FFE">
        <w:rPr>
          <w:rStyle w:val="None"/>
          <w:rFonts w:eastAsia="Arial Unicode MS"/>
          <w:lang w:val="en-GB"/>
        </w:rPr>
        <w:br/>
      </w:r>
      <w:r w:rsidRPr="001D5FFE">
        <w:rPr>
          <w:lang w:val="en-GB"/>
        </w:rPr>
        <w:t xml:space="preserve">While content itself will wholly depend on individual projects, websites should first seek to inform the public of the source and purpose of the project funds, recipients and subrecipients and dollar value of individual grant award. </w:t>
      </w:r>
    </w:p>
    <w:p w14:paraId="4AE28611" w14:textId="77777777" w:rsidR="00032303" w:rsidRPr="001D5FFE" w:rsidRDefault="00032303">
      <w:pPr>
        <w:pStyle w:val="BodyA"/>
        <w:suppressAutoHyphens/>
        <w:rPr>
          <w:lang w:val="en-GB"/>
        </w:rPr>
      </w:pPr>
    </w:p>
    <w:p w14:paraId="0A3EB3B4" w14:textId="77777777" w:rsidR="0017183F" w:rsidRPr="001D5FFE" w:rsidRDefault="00965302">
      <w:pPr>
        <w:pStyle w:val="BodyA"/>
        <w:suppressAutoHyphens/>
        <w:rPr>
          <w:lang w:val="en-GB"/>
        </w:rPr>
      </w:pPr>
      <w:r w:rsidRPr="001D5FFE">
        <w:rPr>
          <w:lang w:val="en-GB"/>
        </w:rPr>
        <w:t xml:space="preserve">Projects that seek to reference the above on any form of media should consider using the following language: </w:t>
      </w:r>
    </w:p>
    <w:p w14:paraId="6F3E1DAE" w14:textId="2DCFBACA" w:rsidR="00032303" w:rsidRPr="001D5FFE" w:rsidRDefault="00965302">
      <w:pPr>
        <w:pStyle w:val="BodyA"/>
        <w:suppressAutoHyphens/>
        <w:rPr>
          <w:rStyle w:val="None"/>
          <w:b/>
          <w:bCs/>
          <w:i/>
          <w:iCs/>
          <w:lang w:val="en-GB"/>
        </w:rPr>
      </w:pPr>
      <w:r w:rsidRPr="001D5FFE">
        <w:rPr>
          <w:rStyle w:val="None"/>
          <w:rFonts w:eastAsia="Arial Unicode MS"/>
          <w:lang w:val="en-GB"/>
        </w:rPr>
        <w:br/>
      </w:r>
      <w:r w:rsidRPr="001D5FFE">
        <w:rPr>
          <w:rStyle w:val="None"/>
          <w:b/>
          <w:bCs/>
          <w:i/>
          <w:iCs/>
          <w:lang w:val="en-GB"/>
        </w:rPr>
        <w:t>“This project receives funding from</w:t>
      </w:r>
      <w:r w:rsidR="007E06C2" w:rsidRPr="001D5FFE">
        <w:rPr>
          <w:rStyle w:val="None"/>
          <w:b/>
          <w:bCs/>
          <w:i/>
          <w:iCs/>
          <w:lang w:val="en-GB"/>
        </w:rPr>
        <w:t xml:space="preserve"> </w:t>
      </w:r>
      <w:r w:rsidRPr="001D5FFE">
        <w:rPr>
          <w:rStyle w:val="None"/>
          <w:b/>
          <w:bCs/>
          <w:i/>
          <w:iCs/>
          <w:lang w:val="en-GB"/>
        </w:rPr>
        <w:t xml:space="preserve">The Caribbean OCTs Resilience, Sustainable Energy and Marine Biodiversity Programme (RESEMBID), a €40M programme financed by the European Union and implemented by Expertise France, the development cooperation agency of France”. </w:t>
      </w:r>
    </w:p>
    <w:p w14:paraId="4D9BB855" w14:textId="77777777" w:rsidR="0017183F" w:rsidRPr="001D5FFE" w:rsidRDefault="0017183F">
      <w:pPr>
        <w:pStyle w:val="BodyA"/>
        <w:suppressAutoHyphens/>
        <w:rPr>
          <w:rStyle w:val="None"/>
          <w:b/>
          <w:bCs/>
          <w:i/>
          <w:iCs/>
          <w:lang w:val="en-GB"/>
        </w:rPr>
      </w:pPr>
    </w:p>
    <w:p w14:paraId="3D057E71" w14:textId="77777777" w:rsidR="00032303" w:rsidRPr="001D5FFE" w:rsidRDefault="00965302">
      <w:pPr>
        <w:pStyle w:val="BodyA"/>
        <w:suppressAutoHyphens/>
        <w:rPr>
          <w:lang w:val="en-GB"/>
        </w:rPr>
      </w:pPr>
      <w:r w:rsidRPr="001D5FFE">
        <w:rPr>
          <w:lang w:val="en-GB"/>
        </w:rPr>
        <w:t xml:space="preserve">The Project’s website must also provide relevant links to the individual websites of the European Union (www. </w:t>
      </w:r>
      <w:hyperlink r:id="rId10" w:history="1">
        <w:r w:rsidRPr="001D5FFE">
          <w:rPr>
            <w:rStyle w:val="Hyperlink1"/>
            <w:lang w:val="en-GB"/>
          </w:rPr>
          <w:t>europa.eu</w:t>
        </w:r>
      </w:hyperlink>
      <w:r w:rsidRPr="001D5FFE">
        <w:rPr>
          <w:lang w:val="en-GB"/>
        </w:rPr>
        <w:t>) and RESEMBID’s website (</w:t>
      </w:r>
      <w:hyperlink r:id="rId11" w:history="1">
        <w:r w:rsidRPr="001D5FFE">
          <w:rPr>
            <w:rStyle w:val="Hyperlink1"/>
            <w:lang w:val="en-GB"/>
          </w:rPr>
          <w:t>www.resembid.org</w:t>
        </w:r>
      </w:hyperlink>
      <w:r w:rsidRPr="001D5FFE">
        <w:rPr>
          <w:lang w:val="en-GB"/>
        </w:rPr>
        <w:t xml:space="preserve">). </w:t>
      </w:r>
    </w:p>
    <w:p w14:paraId="16D093FD" w14:textId="77777777" w:rsidR="00032303" w:rsidRPr="001D5FFE" w:rsidRDefault="00032303">
      <w:pPr>
        <w:pStyle w:val="BodyA"/>
        <w:suppressAutoHyphens/>
        <w:rPr>
          <w:lang w:val="en-GB"/>
        </w:rPr>
      </w:pPr>
    </w:p>
    <w:p w14:paraId="0E1373D8"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Printed Materials </w:t>
      </w:r>
    </w:p>
    <w:p w14:paraId="1B4FE7EF" w14:textId="77777777" w:rsidR="00032303" w:rsidRPr="001D5FFE" w:rsidRDefault="00032303">
      <w:pPr>
        <w:pStyle w:val="BodyA"/>
        <w:suppressAutoHyphens/>
        <w:rPr>
          <w:lang w:val="en-GB"/>
        </w:rPr>
      </w:pPr>
    </w:p>
    <w:p w14:paraId="638173B8" w14:textId="4FB26784" w:rsidR="00032303" w:rsidRPr="001D5FFE" w:rsidRDefault="00965302">
      <w:pPr>
        <w:pStyle w:val="BodyA"/>
        <w:suppressAutoHyphens/>
        <w:rPr>
          <w:lang w:val="en-GB"/>
        </w:rPr>
      </w:pPr>
      <w:r w:rsidRPr="001D5FFE">
        <w:rPr>
          <w:lang w:val="en-GB"/>
        </w:rPr>
        <w:t xml:space="preserve">If a </w:t>
      </w:r>
      <w:r w:rsidR="0017183F" w:rsidRPr="001D5FFE">
        <w:rPr>
          <w:lang w:val="en-GB"/>
        </w:rPr>
        <w:t>grantee seeks</w:t>
      </w:r>
      <w:r w:rsidRPr="001D5FFE">
        <w:rPr>
          <w:lang w:val="en-GB"/>
        </w:rPr>
        <w:t xml:space="preserve"> to inform the public of the source and purpose of the project funds on printed materials, the following language should be considered: </w:t>
      </w:r>
    </w:p>
    <w:p w14:paraId="78414703" w14:textId="153DB5DF" w:rsidR="00032303" w:rsidRPr="001D5FFE" w:rsidRDefault="00965302">
      <w:pPr>
        <w:pStyle w:val="BodyA"/>
        <w:suppressAutoHyphens/>
        <w:rPr>
          <w:rStyle w:val="None"/>
          <w:b/>
          <w:bCs/>
          <w:i/>
          <w:iCs/>
          <w:lang w:val="en-GB"/>
        </w:rPr>
      </w:pPr>
      <w:r w:rsidRPr="001D5FFE">
        <w:rPr>
          <w:rStyle w:val="None"/>
          <w:b/>
          <w:bCs/>
          <w:i/>
          <w:iCs/>
          <w:lang w:val="en-GB"/>
        </w:rPr>
        <w:t xml:space="preserve">“This project receives funding from The Caribbean OCTs Resilience, Sustainable Energy and Marine Biodiversity Programme (RESEMBID), a €40M programme financed by the European Union and implemented by Expertise France, the development cooperation agency of France”. </w:t>
      </w:r>
      <w:r w:rsidRPr="001D5FFE">
        <w:rPr>
          <w:rStyle w:val="None"/>
          <w:rFonts w:eastAsia="Arial Unicode MS"/>
          <w:lang w:val="en-GB"/>
        </w:rPr>
        <w:br/>
      </w:r>
    </w:p>
    <w:p w14:paraId="7B4E30E0" w14:textId="77777777" w:rsidR="00032303" w:rsidRPr="001D5FFE" w:rsidRDefault="00965302">
      <w:pPr>
        <w:pStyle w:val="Heading"/>
        <w:suppressAutoHyphens/>
        <w:rPr>
          <w:rFonts w:cs="Arial"/>
          <w:color w:val="002060"/>
          <w:lang w:val="en-GB"/>
        </w:rPr>
      </w:pPr>
      <w:r w:rsidRPr="001D5FFE">
        <w:rPr>
          <w:rFonts w:cs="Arial"/>
          <w:color w:val="002060"/>
          <w:lang w:val="en-GB"/>
        </w:rPr>
        <w:t>Events</w:t>
      </w:r>
    </w:p>
    <w:p w14:paraId="01B60C12" w14:textId="1AB06CDA" w:rsidR="00032303" w:rsidRPr="001D5FFE" w:rsidRDefault="00965302">
      <w:pPr>
        <w:pStyle w:val="BodyA"/>
        <w:suppressAutoHyphens/>
        <w:rPr>
          <w:lang w:val="en-GB"/>
        </w:rPr>
      </w:pPr>
      <w:r w:rsidRPr="001D5FFE">
        <w:rPr>
          <w:lang w:val="en-GB"/>
        </w:rPr>
        <w:t xml:space="preserve"> </w:t>
      </w:r>
      <w:r w:rsidRPr="001D5FFE">
        <w:rPr>
          <w:rStyle w:val="None"/>
          <w:rFonts w:eastAsia="Arial Unicode MS"/>
          <w:lang w:val="en-GB"/>
        </w:rPr>
        <w:br/>
      </w:r>
      <w:r w:rsidRPr="001D5FFE">
        <w:rPr>
          <w:lang w:val="en-GB"/>
        </w:rPr>
        <w:t>Should a project warrant or propose either in person or online events, project leads must communicate the following to RESEMBID Communications</w:t>
      </w:r>
      <w:r w:rsidR="005E0CDB" w:rsidRPr="001D5FFE">
        <w:rPr>
          <w:lang w:val="en-GB"/>
        </w:rPr>
        <w:t xml:space="preserve"> for </w:t>
      </w:r>
      <w:r w:rsidRPr="001D5FFE">
        <w:rPr>
          <w:lang w:val="en-GB"/>
        </w:rPr>
        <w:t xml:space="preserve">approval </w:t>
      </w:r>
      <w:r w:rsidR="005E0CDB" w:rsidRPr="001D5FFE">
        <w:rPr>
          <w:lang w:val="en-GB"/>
        </w:rPr>
        <w:t xml:space="preserve">no less than two weeks </w:t>
      </w:r>
      <w:r w:rsidRPr="001D5FFE">
        <w:rPr>
          <w:lang w:val="en-GB"/>
        </w:rPr>
        <w:t xml:space="preserve">before proceeding with the event: </w:t>
      </w:r>
    </w:p>
    <w:p w14:paraId="3FF9CA68" w14:textId="77777777" w:rsidR="00032303" w:rsidRPr="001D5FFE" w:rsidRDefault="00965302">
      <w:pPr>
        <w:pStyle w:val="BodyA"/>
        <w:numPr>
          <w:ilvl w:val="0"/>
          <w:numId w:val="16"/>
        </w:numPr>
        <w:suppressAutoHyphens/>
        <w:rPr>
          <w:lang w:val="en-GB"/>
        </w:rPr>
      </w:pPr>
      <w:r w:rsidRPr="001D5FFE">
        <w:rPr>
          <w:lang w:val="en-GB"/>
        </w:rPr>
        <w:t>The name and purpose of the event</w:t>
      </w:r>
    </w:p>
    <w:p w14:paraId="6CD6D6A4" w14:textId="77777777" w:rsidR="00032303" w:rsidRPr="001D5FFE" w:rsidRDefault="00965302">
      <w:pPr>
        <w:pStyle w:val="BodyA"/>
        <w:numPr>
          <w:ilvl w:val="0"/>
          <w:numId w:val="16"/>
        </w:numPr>
        <w:suppressAutoHyphens/>
        <w:rPr>
          <w:lang w:val="en-GB"/>
        </w:rPr>
      </w:pPr>
      <w:r w:rsidRPr="001D5FFE">
        <w:rPr>
          <w:lang w:val="en-GB"/>
        </w:rPr>
        <w:t>The date and time</w:t>
      </w:r>
    </w:p>
    <w:p w14:paraId="08F540C7" w14:textId="77777777" w:rsidR="00032303" w:rsidRPr="001D5FFE" w:rsidRDefault="00965302">
      <w:pPr>
        <w:pStyle w:val="BodyA"/>
        <w:numPr>
          <w:ilvl w:val="0"/>
          <w:numId w:val="16"/>
        </w:numPr>
        <w:suppressAutoHyphens/>
        <w:rPr>
          <w:lang w:val="en-GB"/>
        </w:rPr>
      </w:pPr>
      <w:r w:rsidRPr="001D5FFE">
        <w:rPr>
          <w:lang w:val="en-GB"/>
        </w:rPr>
        <w:t>The location</w:t>
      </w:r>
    </w:p>
    <w:p w14:paraId="43C2B4AF" w14:textId="77777777" w:rsidR="00032303" w:rsidRPr="001D5FFE" w:rsidRDefault="00965302">
      <w:pPr>
        <w:pStyle w:val="BodyA"/>
        <w:numPr>
          <w:ilvl w:val="0"/>
          <w:numId w:val="16"/>
        </w:numPr>
        <w:suppressAutoHyphens/>
        <w:rPr>
          <w:lang w:val="en-GB"/>
        </w:rPr>
      </w:pPr>
      <w:r w:rsidRPr="001D5FFE">
        <w:rPr>
          <w:lang w:val="en-GB"/>
        </w:rPr>
        <w:t>A description of the event programme or agenda</w:t>
      </w:r>
    </w:p>
    <w:p w14:paraId="1F9A85BA" w14:textId="77777777" w:rsidR="00032303" w:rsidRPr="001D5FFE" w:rsidRDefault="00965302">
      <w:pPr>
        <w:pStyle w:val="BodyA"/>
        <w:numPr>
          <w:ilvl w:val="0"/>
          <w:numId w:val="16"/>
        </w:numPr>
        <w:suppressAutoHyphens/>
        <w:rPr>
          <w:lang w:val="en-GB"/>
        </w:rPr>
      </w:pPr>
      <w:r w:rsidRPr="001D5FFE">
        <w:rPr>
          <w:lang w:val="en-GB"/>
        </w:rPr>
        <w:t xml:space="preserve">Plan for on site or on-screen visibility/signage </w:t>
      </w:r>
    </w:p>
    <w:p w14:paraId="0608F67B" w14:textId="77777777" w:rsidR="00032303" w:rsidRPr="001D5FFE" w:rsidRDefault="00965302">
      <w:pPr>
        <w:pStyle w:val="BodyA"/>
        <w:numPr>
          <w:ilvl w:val="0"/>
          <w:numId w:val="16"/>
        </w:numPr>
        <w:suppressAutoHyphens/>
        <w:rPr>
          <w:lang w:val="en-GB"/>
        </w:rPr>
      </w:pPr>
      <w:r w:rsidRPr="001D5FFE">
        <w:rPr>
          <w:lang w:val="en-GB"/>
        </w:rPr>
        <w:t xml:space="preserve">Invited speakers </w:t>
      </w:r>
    </w:p>
    <w:p w14:paraId="20E49238" w14:textId="77777777" w:rsidR="00032303" w:rsidRPr="001D5FFE" w:rsidRDefault="00965302">
      <w:pPr>
        <w:pStyle w:val="BodyA"/>
        <w:numPr>
          <w:ilvl w:val="0"/>
          <w:numId w:val="16"/>
        </w:numPr>
        <w:suppressAutoHyphens/>
        <w:rPr>
          <w:lang w:val="en-GB"/>
        </w:rPr>
      </w:pPr>
      <w:r w:rsidRPr="001D5FFE">
        <w:rPr>
          <w:lang w:val="en-GB"/>
        </w:rPr>
        <w:t xml:space="preserve">Description of invited guests (including media) </w:t>
      </w:r>
    </w:p>
    <w:p w14:paraId="17BC21B8" w14:textId="1266A844" w:rsidR="00032303" w:rsidRPr="001D5FFE" w:rsidRDefault="00965302" w:rsidP="00FD6F85">
      <w:pPr>
        <w:pStyle w:val="BodyA"/>
        <w:numPr>
          <w:ilvl w:val="0"/>
          <w:numId w:val="16"/>
        </w:numPr>
        <w:suppressAutoHyphens/>
        <w:rPr>
          <w:lang w:val="en-GB"/>
        </w:rPr>
      </w:pPr>
      <w:r w:rsidRPr="001D5FFE">
        <w:rPr>
          <w:lang w:val="en-GB"/>
        </w:rPr>
        <w:t>Plan for recording event (videography, photography)</w:t>
      </w:r>
    </w:p>
    <w:p w14:paraId="2766456B" w14:textId="77777777" w:rsidR="00032303" w:rsidRPr="001D5FFE" w:rsidRDefault="00965302">
      <w:pPr>
        <w:pStyle w:val="BodyA"/>
        <w:suppressAutoHyphens/>
        <w:rPr>
          <w:lang w:val="en-GB"/>
        </w:rPr>
      </w:pPr>
      <w:r w:rsidRPr="001D5FFE">
        <w:rPr>
          <w:lang w:val="en-GB"/>
        </w:rPr>
        <w:t xml:space="preserve">        </w:t>
      </w:r>
    </w:p>
    <w:p w14:paraId="1981EED8"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Press Releases </w:t>
      </w:r>
    </w:p>
    <w:p w14:paraId="28B48732" w14:textId="77777777" w:rsidR="00032303" w:rsidRPr="001D5FFE" w:rsidRDefault="00965302">
      <w:pPr>
        <w:pStyle w:val="BodyA"/>
        <w:suppressAutoHyphens/>
        <w:rPr>
          <w:lang w:val="en-GB"/>
        </w:rPr>
      </w:pPr>
      <w:r w:rsidRPr="001D5FFE">
        <w:rPr>
          <w:lang w:val="en-GB"/>
        </w:rPr>
        <w:t xml:space="preserve">A press release should be issued to mark major milestones in a project. Typically, these important milestones centre on the launch and successful completion of a project but, according to the nature of the project, can include other elements like the announcement of partnerships, implementation of project phases etc.  </w:t>
      </w:r>
    </w:p>
    <w:p w14:paraId="30B361E1" w14:textId="2AD5EA18" w:rsidR="00032303" w:rsidRPr="001D5FFE" w:rsidRDefault="00965302">
      <w:pPr>
        <w:pStyle w:val="BodyA"/>
        <w:suppressAutoHyphens/>
        <w:rPr>
          <w:lang w:val="en-GB"/>
        </w:rPr>
      </w:pPr>
      <w:r w:rsidRPr="001D5FFE">
        <w:rPr>
          <w:lang w:val="en-GB"/>
        </w:rPr>
        <w:t xml:space="preserve">When sending out a press release to local and regional media, it is imperative that the content be </w:t>
      </w:r>
      <w:r w:rsidR="00D0726D" w:rsidRPr="001D5FFE">
        <w:rPr>
          <w:lang w:val="en-GB"/>
        </w:rPr>
        <w:t>relevant, accurate</w:t>
      </w:r>
      <w:r w:rsidRPr="001D5FFE">
        <w:rPr>
          <w:lang w:val="en-GB"/>
        </w:rPr>
        <w:t xml:space="preserve"> and newsworthy.   </w:t>
      </w:r>
    </w:p>
    <w:p w14:paraId="6CBED0F9" w14:textId="77777777" w:rsidR="00032303" w:rsidRPr="001D5FFE" w:rsidRDefault="00032303">
      <w:pPr>
        <w:pStyle w:val="BodyA"/>
        <w:suppressAutoHyphens/>
        <w:rPr>
          <w:lang w:val="en-GB"/>
        </w:rPr>
      </w:pPr>
    </w:p>
    <w:p w14:paraId="6F63D14C" w14:textId="77777777" w:rsidR="00032303" w:rsidRPr="001D5FFE" w:rsidRDefault="00965302">
      <w:pPr>
        <w:pStyle w:val="BodyA"/>
        <w:suppressAutoHyphens/>
        <w:rPr>
          <w:lang w:val="en-GB"/>
        </w:rPr>
      </w:pPr>
      <w:r w:rsidRPr="001D5FFE">
        <w:rPr>
          <w:lang w:val="en-GB"/>
        </w:rPr>
        <w:t>The content of all releases should include:</w:t>
      </w:r>
    </w:p>
    <w:p w14:paraId="63613FBA" w14:textId="6DECA639" w:rsidR="00032303" w:rsidRPr="001D5FFE" w:rsidRDefault="00965302">
      <w:pPr>
        <w:pStyle w:val="BodyA"/>
        <w:numPr>
          <w:ilvl w:val="0"/>
          <w:numId w:val="12"/>
        </w:numPr>
        <w:suppressAutoHyphens/>
        <w:rPr>
          <w:lang w:val="en-GB"/>
        </w:rPr>
      </w:pPr>
      <w:r w:rsidRPr="001D5FFE">
        <w:rPr>
          <w:lang w:val="en-GB"/>
        </w:rPr>
        <w:t>Mention of the European Union as the donor</w:t>
      </w:r>
    </w:p>
    <w:p w14:paraId="24D6AACC" w14:textId="2AB1D4B7" w:rsidR="00032303" w:rsidRPr="001D5FFE" w:rsidRDefault="00965302">
      <w:pPr>
        <w:pStyle w:val="BodyA"/>
        <w:numPr>
          <w:ilvl w:val="0"/>
          <w:numId w:val="12"/>
        </w:numPr>
        <w:suppressAutoHyphens/>
        <w:rPr>
          <w:lang w:val="en-GB"/>
        </w:rPr>
      </w:pPr>
      <w:r w:rsidRPr="001D5FFE">
        <w:rPr>
          <w:lang w:val="en-GB"/>
        </w:rPr>
        <w:lastRenderedPageBreak/>
        <w:t>Mention of RESEMBID as the Programme through which funds and technical assistance were made available</w:t>
      </w:r>
    </w:p>
    <w:p w14:paraId="5A6320FC" w14:textId="6C0E96CE" w:rsidR="00032303" w:rsidRPr="001D5FFE" w:rsidRDefault="00965302">
      <w:pPr>
        <w:pStyle w:val="BodyA"/>
        <w:numPr>
          <w:ilvl w:val="0"/>
          <w:numId w:val="12"/>
        </w:numPr>
        <w:suppressAutoHyphens/>
        <w:rPr>
          <w:lang w:val="en-GB"/>
        </w:rPr>
      </w:pPr>
      <w:r w:rsidRPr="001D5FFE">
        <w:rPr>
          <w:lang w:val="en-GB"/>
        </w:rPr>
        <w:t>The project’s tangible benefits to the OCTs in which it operates</w:t>
      </w:r>
    </w:p>
    <w:p w14:paraId="27F54B53" w14:textId="03896E77" w:rsidR="00032303" w:rsidRPr="001D5FFE" w:rsidRDefault="00965302">
      <w:pPr>
        <w:pStyle w:val="BodyA"/>
        <w:numPr>
          <w:ilvl w:val="0"/>
          <w:numId w:val="12"/>
        </w:numPr>
        <w:suppressAutoHyphens/>
        <w:rPr>
          <w:lang w:val="en-GB"/>
        </w:rPr>
      </w:pPr>
      <w:r w:rsidRPr="001D5FFE">
        <w:rPr>
          <w:lang w:val="en-GB"/>
        </w:rPr>
        <w:t>Dollar value of the funds allocated</w:t>
      </w:r>
    </w:p>
    <w:p w14:paraId="14CDF666" w14:textId="77777777" w:rsidR="00965302" w:rsidRPr="001D5FFE" w:rsidRDefault="00965302">
      <w:pPr>
        <w:pStyle w:val="BodyA"/>
        <w:suppressAutoHyphens/>
        <w:rPr>
          <w:lang w:val="en-GB"/>
        </w:rPr>
      </w:pPr>
    </w:p>
    <w:p w14:paraId="08577896" w14:textId="4EC8BDB0" w:rsidR="00032303" w:rsidRPr="001D5FFE" w:rsidRDefault="00965302">
      <w:pPr>
        <w:pStyle w:val="BodyA"/>
        <w:suppressAutoHyphens/>
        <w:rPr>
          <w:b/>
          <w:bCs/>
          <w:lang w:val="en-GB"/>
        </w:rPr>
      </w:pPr>
      <w:r w:rsidRPr="001D5FFE">
        <w:rPr>
          <w:b/>
          <w:bCs/>
          <w:lang w:val="en-GB"/>
        </w:rPr>
        <w:t xml:space="preserve">Before dissemination to any external media </w:t>
      </w:r>
      <w:r w:rsidR="007E06C2" w:rsidRPr="001D5FFE">
        <w:rPr>
          <w:b/>
          <w:bCs/>
          <w:lang w:val="en-GB"/>
        </w:rPr>
        <w:t xml:space="preserve">affiliate </w:t>
      </w:r>
      <w:r w:rsidR="00F050E7" w:rsidRPr="001D5FFE">
        <w:rPr>
          <w:b/>
          <w:bCs/>
          <w:lang w:val="en-GB"/>
        </w:rPr>
        <w:t>or</w:t>
      </w:r>
      <w:r w:rsidRPr="001D5FFE">
        <w:rPr>
          <w:b/>
          <w:bCs/>
          <w:lang w:val="en-GB"/>
        </w:rPr>
        <w:t xml:space="preserve"> stakeholder, it is imperative that drafts are share</w:t>
      </w:r>
      <w:r w:rsidR="007E06C2" w:rsidRPr="001D5FFE">
        <w:rPr>
          <w:b/>
          <w:bCs/>
          <w:lang w:val="en-GB"/>
        </w:rPr>
        <w:t>d</w:t>
      </w:r>
      <w:r w:rsidRPr="001D5FFE">
        <w:rPr>
          <w:b/>
          <w:bCs/>
          <w:lang w:val="en-GB"/>
        </w:rPr>
        <w:t xml:space="preserve"> with RESEMBID Communications Unit for final approval. </w:t>
      </w:r>
    </w:p>
    <w:p w14:paraId="1EB9C645" w14:textId="77777777" w:rsidR="00032303" w:rsidRPr="001D5FFE" w:rsidRDefault="00032303">
      <w:pPr>
        <w:pStyle w:val="BodyA"/>
        <w:suppressAutoHyphens/>
        <w:rPr>
          <w:lang w:val="en-GB"/>
        </w:rPr>
      </w:pPr>
    </w:p>
    <w:p w14:paraId="57F80C3F" w14:textId="77777777" w:rsidR="00032303" w:rsidRPr="001D5FFE" w:rsidRDefault="00965302">
      <w:pPr>
        <w:pStyle w:val="BodyA"/>
        <w:suppressAutoHyphens/>
        <w:jc w:val="left"/>
        <w:rPr>
          <w:lang w:val="en-GB"/>
        </w:rPr>
      </w:pPr>
      <w:r w:rsidRPr="001D5FFE">
        <w:rPr>
          <w:lang w:val="en-GB"/>
        </w:rPr>
        <w:t xml:space="preserve">Unless otherwise stated, press releases must be dispatched using pre-approved letterheads with the appropriate and compliant logo guidelines. </w:t>
      </w:r>
      <w:r w:rsidRPr="001D5FFE">
        <w:rPr>
          <w:rStyle w:val="None"/>
          <w:rFonts w:eastAsia="Arial Unicode MS"/>
          <w:lang w:val="en-GB"/>
        </w:rPr>
        <w:br/>
      </w:r>
    </w:p>
    <w:p w14:paraId="61FABC27" w14:textId="77777777" w:rsidR="00032303" w:rsidRPr="001D5FFE" w:rsidRDefault="00032303">
      <w:pPr>
        <w:pStyle w:val="BodyA"/>
        <w:suppressAutoHyphens/>
        <w:rPr>
          <w:lang w:val="en-GB"/>
        </w:rPr>
      </w:pPr>
    </w:p>
    <w:p w14:paraId="6B111A41"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Social Media </w:t>
      </w:r>
    </w:p>
    <w:p w14:paraId="0A2913A5" w14:textId="77777777" w:rsidR="00032303" w:rsidRPr="001D5FFE" w:rsidRDefault="00965302">
      <w:pPr>
        <w:pStyle w:val="BodyA"/>
        <w:suppressAutoHyphens/>
        <w:rPr>
          <w:lang w:val="en-GB"/>
        </w:rPr>
      </w:pPr>
      <w:r w:rsidRPr="001D5FFE">
        <w:rPr>
          <w:lang w:val="en-GB"/>
        </w:rPr>
        <w:t>Where appropriate, projects are encouraged to leverage the far reaching, targeted communications products offered by a well-established and growing suite of social media applications. Both organic and paid social media campaigns can be used for mass reach and awareness of each project’s C&amp;V efforts.</w:t>
      </w:r>
    </w:p>
    <w:p w14:paraId="64E3674C" w14:textId="77777777" w:rsidR="00032303" w:rsidRPr="001D5FFE" w:rsidRDefault="00965302">
      <w:pPr>
        <w:pStyle w:val="BodyA"/>
        <w:suppressAutoHyphens/>
        <w:rPr>
          <w:lang w:val="en-GB"/>
        </w:rPr>
      </w:pPr>
      <w:r w:rsidRPr="001D5FFE">
        <w:rPr>
          <w:lang w:val="en-GB"/>
        </w:rPr>
        <w:t xml:space="preserve">If social media platforms are used, grantees are encouraged to document the methodology and content used and subsequent metrics. Listed below is a guide to a posting plan meant to aid the person(s) charged with leading social media efforts. </w:t>
      </w:r>
    </w:p>
    <w:p w14:paraId="02FEBDF5" w14:textId="77777777" w:rsidR="00032303" w:rsidRPr="001D5FFE" w:rsidRDefault="00032303">
      <w:pPr>
        <w:pStyle w:val="BodyA"/>
        <w:suppressAutoHyphens/>
        <w:rPr>
          <w:lang w:val="en-GB"/>
        </w:rPr>
      </w:pPr>
    </w:p>
    <w:p w14:paraId="01CA1056" w14:textId="77777777" w:rsidR="00032303" w:rsidRPr="001D5FFE" w:rsidRDefault="00032303">
      <w:pPr>
        <w:pStyle w:val="BodyA"/>
        <w:suppressAutoHyphens/>
        <w:rPr>
          <w:lang w:val="en-GB"/>
        </w:rPr>
      </w:pPr>
    </w:p>
    <w:p w14:paraId="3FE16CCA" w14:textId="77777777" w:rsidR="00032303" w:rsidRPr="001D5FFE" w:rsidRDefault="00032303">
      <w:pPr>
        <w:pStyle w:val="BodyA"/>
        <w:suppressAutoHyphens/>
        <w:rPr>
          <w:lang w:val="en-GB"/>
        </w:rPr>
      </w:pPr>
    </w:p>
    <w:p w14:paraId="46175F0A" w14:textId="77777777" w:rsidR="00032303" w:rsidRPr="001D5FFE" w:rsidRDefault="00965302">
      <w:pPr>
        <w:pStyle w:val="BodyA"/>
        <w:suppressAutoHyphens/>
        <w:rPr>
          <w:lang w:val="en-GB"/>
        </w:rPr>
      </w:pPr>
      <w:r w:rsidRPr="001D5FFE">
        <w:rPr>
          <w:lang w:val="en-GB"/>
        </w:rPr>
        <w:t>The below is a guide to posting and measuring social media content:</w:t>
      </w:r>
    </w:p>
    <w:p w14:paraId="09A5D6C8" w14:textId="77777777" w:rsidR="00032303" w:rsidRPr="001D5FFE" w:rsidRDefault="00032303">
      <w:pPr>
        <w:pStyle w:val="BodyA"/>
        <w:suppressAutoHyphens/>
        <w:rPr>
          <w:lang w:val="en-GB"/>
        </w:rPr>
      </w:pPr>
    </w:p>
    <w:tbl>
      <w:tblPr>
        <w:tblW w:w="897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3494BA"/>
        <w:tblLayout w:type="fixed"/>
        <w:tblLook w:val="04A0" w:firstRow="1" w:lastRow="0" w:firstColumn="1" w:lastColumn="0" w:noHBand="0" w:noVBand="1"/>
      </w:tblPr>
      <w:tblGrid>
        <w:gridCol w:w="2588"/>
        <w:gridCol w:w="1899"/>
        <w:gridCol w:w="2243"/>
        <w:gridCol w:w="2244"/>
      </w:tblGrid>
      <w:tr w:rsidR="001D3736" w:rsidRPr="001D5FFE" w14:paraId="2EB41023" w14:textId="77777777" w:rsidTr="001D3736">
        <w:trPr>
          <w:trHeight w:val="572"/>
          <w:tblHeader/>
        </w:trPr>
        <w:tc>
          <w:tcPr>
            <w:tcW w:w="2588" w:type="dxa"/>
            <w:tcBorders>
              <w:top w:val="single" w:sz="2" w:space="0" w:color="000000"/>
              <w:left w:val="single" w:sz="2" w:space="0" w:color="000000"/>
              <w:bottom w:val="single" w:sz="6" w:space="0" w:color="000000"/>
              <w:right w:val="single" w:sz="2" w:space="0" w:color="000000"/>
            </w:tcBorders>
            <w:shd w:val="clear" w:color="auto" w:fill="002060"/>
            <w:tcMar>
              <w:top w:w="80" w:type="dxa"/>
              <w:left w:w="80" w:type="dxa"/>
              <w:bottom w:w="80" w:type="dxa"/>
              <w:right w:w="80" w:type="dxa"/>
            </w:tcMar>
          </w:tcPr>
          <w:p w14:paraId="3A2D6975" w14:textId="77777777" w:rsidR="00032303" w:rsidRPr="001D5FFE" w:rsidRDefault="00965302">
            <w:pPr>
              <w:pStyle w:val="BodyC"/>
              <w:rPr>
                <w:rFonts w:ascii="Arial" w:hAnsi="Arial" w:cs="Arial"/>
                <w:color w:val="FFFFFF" w:themeColor="background1"/>
                <w:lang w:val="en-GB"/>
              </w:rPr>
            </w:pPr>
            <w:r w:rsidRPr="001D5FFE">
              <w:rPr>
                <w:rStyle w:val="None"/>
                <w:rFonts w:ascii="Arial" w:hAnsi="Arial" w:cs="Arial"/>
                <w:b/>
                <w:bCs/>
                <w:color w:val="FFFFFF" w:themeColor="background1"/>
                <w:sz w:val="20"/>
                <w:szCs w:val="20"/>
                <w:lang w:val="en-GB"/>
              </w:rPr>
              <w:t xml:space="preserve">Platform </w:t>
            </w:r>
          </w:p>
        </w:tc>
        <w:tc>
          <w:tcPr>
            <w:tcW w:w="1899" w:type="dxa"/>
            <w:tcBorders>
              <w:top w:val="single" w:sz="2" w:space="0" w:color="000000"/>
              <w:left w:val="single" w:sz="2" w:space="0" w:color="000000"/>
              <w:bottom w:val="single" w:sz="6" w:space="0" w:color="000000"/>
              <w:right w:val="single" w:sz="2" w:space="0" w:color="000000"/>
            </w:tcBorders>
            <w:shd w:val="clear" w:color="auto" w:fill="002060"/>
            <w:tcMar>
              <w:top w:w="80" w:type="dxa"/>
              <w:left w:w="80" w:type="dxa"/>
              <w:bottom w:w="80" w:type="dxa"/>
              <w:right w:w="80" w:type="dxa"/>
            </w:tcMar>
          </w:tcPr>
          <w:p w14:paraId="7B338D2F" w14:textId="77777777" w:rsidR="00032303" w:rsidRPr="001D5FFE" w:rsidRDefault="00965302">
            <w:pPr>
              <w:pStyle w:val="BodyC"/>
              <w:rPr>
                <w:rFonts w:ascii="Arial" w:hAnsi="Arial" w:cs="Arial"/>
                <w:color w:val="FFFFFF" w:themeColor="background1"/>
                <w:lang w:val="en-GB"/>
              </w:rPr>
            </w:pPr>
            <w:r w:rsidRPr="001D5FFE">
              <w:rPr>
                <w:rStyle w:val="None"/>
                <w:rFonts w:ascii="Arial" w:hAnsi="Arial" w:cs="Arial"/>
                <w:b/>
                <w:bCs/>
                <w:color w:val="FFFFFF" w:themeColor="background1"/>
                <w:sz w:val="20"/>
                <w:szCs w:val="20"/>
                <w:lang w:val="en-GB"/>
              </w:rPr>
              <w:t xml:space="preserve">Content Deals </w:t>
            </w:r>
          </w:p>
        </w:tc>
        <w:tc>
          <w:tcPr>
            <w:tcW w:w="2243" w:type="dxa"/>
            <w:tcBorders>
              <w:top w:val="single" w:sz="2" w:space="0" w:color="000000"/>
              <w:left w:val="single" w:sz="2" w:space="0" w:color="000000"/>
              <w:bottom w:val="single" w:sz="6" w:space="0" w:color="000000"/>
              <w:right w:val="single" w:sz="2" w:space="0" w:color="000000"/>
            </w:tcBorders>
            <w:shd w:val="clear" w:color="auto" w:fill="002060"/>
            <w:tcMar>
              <w:top w:w="80" w:type="dxa"/>
              <w:left w:w="80" w:type="dxa"/>
              <w:bottom w:w="80" w:type="dxa"/>
              <w:right w:w="80" w:type="dxa"/>
            </w:tcMar>
          </w:tcPr>
          <w:p w14:paraId="03BC428F" w14:textId="77777777" w:rsidR="00032303" w:rsidRPr="001D5FFE" w:rsidRDefault="00965302">
            <w:pPr>
              <w:pStyle w:val="BodyC"/>
              <w:rPr>
                <w:rFonts w:ascii="Arial" w:hAnsi="Arial" w:cs="Arial"/>
                <w:color w:val="FFFFFF" w:themeColor="background1"/>
                <w:lang w:val="en-GB"/>
              </w:rPr>
            </w:pPr>
            <w:r w:rsidRPr="001D5FFE">
              <w:rPr>
                <w:rStyle w:val="None"/>
                <w:rFonts w:ascii="Arial" w:hAnsi="Arial" w:cs="Arial"/>
                <w:b/>
                <w:bCs/>
                <w:color w:val="FFFFFF" w:themeColor="background1"/>
                <w:sz w:val="20"/>
                <w:szCs w:val="20"/>
                <w:lang w:val="en-GB"/>
              </w:rPr>
              <w:t xml:space="preserve">Day to Post </w:t>
            </w:r>
          </w:p>
        </w:tc>
        <w:tc>
          <w:tcPr>
            <w:tcW w:w="2244" w:type="dxa"/>
            <w:tcBorders>
              <w:top w:val="single" w:sz="2" w:space="0" w:color="000000"/>
              <w:left w:val="single" w:sz="2" w:space="0" w:color="000000"/>
              <w:bottom w:val="single" w:sz="6" w:space="0" w:color="000000"/>
              <w:right w:val="single" w:sz="2" w:space="0" w:color="000000"/>
            </w:tcBorders>
            <w:shd w:val="clear" w:color="auto" w:fill="002060"/>
            <w:tcMar>
              <w:top w:w="80" w:type="dxa"/>
              <w:left w:w="80" w:type="dxa"/>
              <w:bottom w:w="80" w:type="dxa"/>
              <w:right w:w="80" w:type="dxa"/>
            </w:tcMar>
          </w:tcPr>
          <w:p w14:paraId="68520C70" w14:textId="77777777" w:rsidR="00032303" w:rsidRPr="001D5FFE" w:rsidRDefault="00965302">
            <w:pPr>
              <w:pStyle w:val="BodyC"/>
              <w:rPr>
                <w:rFonts w:ascii="Arial" w:hAnsi="Arial" w:cs="Arial"/>
                <w:color w:val="FFFFFF" w:themeColor="background1"/>
                <w:lang w:val="en-GB"/>
              </w:rPr>
            </w:pPr>
            <w:r w:rsidRPr="001D5FFE">
              <w:rPr>
                <w:rStyle w:val="None"/>
                <w:rFonts w:ascii="Arial" w:hAnsi="Arial" w:cs="Arial"/>
                <w:b/>
                <w:bCs/>
                <w:color w:val="FFFFFF" w:themeColor="background1"/>
                <w:sz w:val="20"/>
                <w:szCs w:val="20"/>
                <w:lang w:val="en-GB"/>
              </w:rPr>
              <w:t>Running Period (Ads)</w:t>
            </w:r>
          </w:p>
        </w:tc>
      </w:tr>
      <w:tr w:rsidR="00032303" w:rsidRPr="001D5FFE" w14:paraId="3B3988BC" w14:textId="77777777">
        <w:tblPrEx>
          <w:shd w:val="clear" w:color="auto" w:fill="CCDBE6"/>
        </w:tblPrEx>
        <w:trPr>
          <w:trHeight w:val="2272"/>
        </w:trPr>
        <w:tc>
          <w:tcPr>
            <w:tcW w:w="2588"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CDBD453" w14:textId="77777777" w:rsidR="00032303" w:rsidRPr="001D5FFE" w:rsidRDefault="00965302" w:rsidP="00D0726D">
            <w:pPr>
              <w:pStyle w:val="BodyC"/>
              <w:jc w:val="both"/>
              <w:rPr>
                <w:rStyle w:val="None"/>
                <w:rFonts w:ascii="Arial" w:eastAsia="Arial" w:hAnsi="Arial" w:cs="Arial"/>
                <w:b/>
                <w:bCs/>
                <w:color w:val="auto"/>
                <w:sz w:val="20"/>
                <w:szCs w:val="20"/>
                <w:lang w:val="en-GB"/>
              </w:rPr>
            </w:pPr>
            <w:r w:rsidRPr="001D5FFE">
              <w:rPr>
                <w:rStyle w:val="None"/>
                <w:rFonts w:ascii="Arial" w:hAnsi="Arial" w:cs="Arial"/>
                <w:b/>
                <w:bCs/>
                <w:sz w:val="20"/>
                <w:szCs w:val="20"/>
                <w:lang w:val="en-GB"/>
              </w:rPr>
              <w:t xml:space="preserve">This is the </w:t>
            </w:r>
          </w:p>
          <w:p w14:paraId="02DD4BE4" w14:textId="0C098776" w:rsidR="00032303" w:rsidRPr="001D5FFE" w:rsidRDefault="00965302" w:rsidP="00D0726D">
            <w:pPr>
              <w:pStyle w:val="BodyC"/>
              <w:jc w:val="both"/>
              <w:rPr>
                <w:rStyle w:val="None"/>
                <w:rFonts w:ascii="Arial" w:eastAsia="Arial" w:hAnsi="Arial" w:cs="Arial"/>
                <w:b/>
                <w:bCs/>
                <w:sz w:val="20"/>
                <w:szCs w:val="20"/>
                <w:lang w:val="en-GB"/>
              </w:rPr>
            </w:pPr>
            <w:r w:rsidRPr="001D5FFE">
              <w:rPr>
                <w:rStyle w:val="None"/>
                <w:rFonts w:ascii="Arial" w:hAnsi="Arial" w:cs="Arial"/>
                <w:b/>
                <w:bCs/>
                <w:sz w:val="20"/>
                <w:szCs w:val="20"/>
                <w:lang w:val="en-GB"/>
              </w:rPr>
              <w:t xml:space="preserve">predetermined virtual space in </w:t>
            </w:r>
            <w:proofErr w:type="gramStart"/>
            <w:r w:rsidRPr="001D5FFE">
              <w:rPr>
                <w:rStyle w:val="None"/>
                <w:rFonts w:ascii="Arial" w:hAnsi="Arial" w:cs="Arial"/>
                <w:b/>
                <w:bCs/>
                <w:sz w:val="20"/>
                <w:szCs w:val="20"/>
                <w:lang w:val="en-GB"/>
              </w:rPr>
              <w:t>which</w:t>
            </w:r>
            <w:r w:rsidR="003508AC" w:rsidRPr="001D5FFE">
              <w:rPr>
                <w:rStyle w:val="None"/>
                <w:rFonts w:ascii="Arial" w:hAnsi="Arial" w:cs="Arial"/>
                <w:b/>
                <w:bCs/>
                <w:sz w:val="20"/>
                <w:szCs w:val="20"/>
                <w:lang w:val="en-GB"/>
              </w:rPr>
              <w:t xml:space="preserve"> </w:t>
            </w:r>
            <w:r w:rsidRPr="001D5FFE">
              <w:rPr>
                <w:rStyle w:val="None"/>
                <w:rFonts w:ascii="Arial" w:hAnsi="Arial" w:cs="Arial"/>
                <w:b/>
                <w:bCs/>
                <w:sz w:val="20"/>
                <w:szCs w:val="20"/>
                <w:lang w:val="en-GB"/>
              </w:rPr>
              <w:t xml:space="preserve"> engagement</w:t>
            </w:r>
            <w:proofErr w:type="gramEnd"/>
            <w:r w:rsidRPr="001D5FFE">
              <w:rPr>
                <w:rStyle w:val="None"/>
                <w:rFonts w:ascii="Arial" w:hAnsi="Arial" w:cs="Arial"/>
                <w:b/>
                <w:bCs/>
                <w:sz w:val="20"/>
                <w:szCs w:val="20"/>
                <w:lang w:val="en-GB"/>
              </w:rPr>
              <w:t xml:space="preserve"> will take place </w:t>
            </w:r>
            <w:proofErr w:type="spellStart"/>
            <w:r w:rsidRPr="001D5FFE">
              <w:rPr>
                <w:rStyle w:val="None"/>
                <w:rFonts w:ascii="Arial" w:hAnsi="Arial" w:cs="Arial"/>
                <w:b/>
                <w:bCs/>
                <w:sz w:val="20"/>
                <w:szCs w:val="20"/>
                <w:lang w:val="en-GB"/>
              </w:rPr>
              <w:t>eg.</w:t>
            </w:r>
            <w:proofErr w:type="spellEnd"/>
            <w:r w:rsidRPr="001D5FFE">
              <w:rPr>
                <w:rStyle w:val="None"/>
                <w:rFonts w:ascii="Arial" w:hAnsi="Arial" w:cs="Arial"/>
                <w:b/>
                <w:bCs/>
                <w:sz w:val="20"/>
                <w:szCs w:val="20"/>
                <w:lang w:val="en-GB"/>
              </w:rPr>
              <w:t xml:space="preserve"> Facebook, </w:t>
            </w:r>
          </w:p>
          <w:p w14:paraId="7EB51FA0" w14:textId="77777777" w:rsidR="00032303" w:rsidRPr="001D5FFE" w:rsidRDefault="00965302" w:rsidP="00D0726D">
            <w:pPr>
              <w:pStyle w:val="BodyC"/>
              <w:jc w:val="both"/>
              <w:rPr>
                <w:rFonts w:ascii="Arial" w:hAnsi="Arial" w:cs="Arial"/>
                <w:lang w:val="en-GB"/>
              </w:rPr>
            </w:pPr>
            <w:r w:rsidRPr="001D5FFE">
              <w:rPr>
                <w:rStyle w:val="None"/>
                <w:rFonts w:ascii="Arial" w:hAnsi="Arial" w:cs="Arial"/>
                <w:b/>
                <w:bCs/>
                <w:sz w:val="20"/>
                <w:szCs w:val="20"/>
                <w:lang w:val="en-GB"/>
              </w:rPr>
              <w:t xml:space="preserve">Instagram, Twitter etc. </w:t>
            </w:r>
          </w:p>
        </w:tc>
        <w:tc>
          <w:tcPr>
            <w:tcW w:w="1899"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58B2701" w14:textId="77777777" w:rsidR="00032303" w:rsidRPr="001D5FFE" w:rsidRDefault="00965302" w:rsidP="00D0726D">
            <w:pPr>
              <w:pStyle w:val="TableStyle2A"/>
              <w:jc w:val="both"/>
              <w:rPr>
                <w:rStyle w:val="None"/>
                <w:rFonts w:ascii="Arial" w:eastAsia="Arial" w:hAnsi="Arial" w:cs="Arial"/>
                <w:sz w:val="24"/>
                <w:szCs w:val="24"/>
                <w:lang w:val="en-GB"/>
              </w:rPr>
            </w:pPr>
            <w:r w:rsidRPr="001D5FFE">
              <w:rPr>
                <w:rStyle w:val="None"/>
                <w:rFonts w:ascii="Arial" w:hAnsi="Arial" w:cs="Arial"/>
                <w:lang w:val="en-GB"/>
              </w:rPr>
              <w:t xml:space="preserve">The descriptive </w:t>
            </w:r>
          </w:p>
          <w:p w14:paraId="46640EBB" w14:textId="77777777" w:rsidR="00032303" w:rsidRPr="001D5FFE" w:rsidRDefault="00965302" w:rsidP="00D0726D">
            <w:pPr>
              <w:pStyle w:val="TableStyle2A"/>
              <w:jc w:val="both"/>
              <w:rPr>
                <w:rStyle w:val="None"/>
                <w:rFonts w:ascii="Arial" w:eastAsia="Arial" w:hAnsi="Arial" w:cs="Arial"/>
                <w:lang w:val="en-GB"/>
              </w:rPr>
            </w:pPr>
            <w:r w:rsidRPr="001D5FFE">
              <w:rPr>
                <w:rStyle w:val="None"/>
                <w:rFonts w:ascii="Arial" w:hAnsi="Arial" w:cs="Arial"/>
                <w:lang w:val="en-GB"/>
              </w:rPr>
              <w:t xml:space="preserve">details of your </w:t>
            </w:r>
          </w:p>
          <w:p w14:paraId="0795ECB6" w14:textId="77777777" w:rsidR="00032303" w:rsidRPr="001D5FFE" w:rsidRDefault="00965302" w:rsidP="00D0726D">
            <w:pPr>
              <w:pStyle w:val="TableStyle2A"/>
              <w:jc w:val="both"/>
              <w:rPr>
                <w:rStyle w:val="None"/>
                <w:rFonts w:ascii="Arial" w:eastAsia="Arial" w:hAnsi="Arial" w:cs="Arial"/>
                <w:lang w:val="en-GB"/>
              </w:rPr>
            </w:pPr>
            <w:r w:rsidRPr="001D5FFE">
              <w:rPr>
                <w:rStyle w:val="None"/>
                <w:rFonts w:ascii="Arial" w:hAnsi="Arial" w:cs="Arial"/>
                <w:lang w:val="en-GB"/>
              </w:rPr>
              <w:t xml:space="preserve">uploads. What will be the </w:t>
            </w:r>
            <w:proofErr w:type="gramStart"/>
            <w:r w:rsidRPr="001D5FFE">
              <w:rPr>
                <w:rStyle w:val="None"/>
                <w:rFonts w:ascii="Arial" w:hAnsi="Arial" w:cs="Arial"/>
                <w:lang w:val="en-GB"/>
              </w:rPr>
              <w:t>key</w:t>
            </w:r>
            <w:proofErr w:type="gramEnd"/>
            <w:r w:rsidRPr="001D5FFE">
              <w:rPr>
                <w:rStyle w:val="None"/>
                <w:rFonts w:ascii="Arial" w:hAnsi="Arial" w:cs="Arial"/>
                <w:lang w:val="en-GB"/>
              </w:rPr>
              <w:t xml:space="preserve"> </w:t>
            </w:r>
          </w:p>
          <w:p w14:paraId="1DA6AE41" w14:textId="77777777" w:rsidR="00032303" w:rsidRPr="001D5FFE" w:rsidRDefault="00965302" w:rsidP="00D0726D">
            <w:pPr>
              <w:pStyle w:val="TableStyle2A"/>
              <w:jc w:val="both"/>
              <w:rPr>
                <w:rStyle w:val="None"/>
                <w:rFonts w:ascii="Arial" w:eastAsia="Arial" w:hAnsi="Arial" w:cs="Arial"/>
                <w:lang w:val="en-GB"/>
              </w:rPr>
            </w:pPr>
            <w:r w:rsidRPr="001D5FFE">
              <w:rPr>
                <w:rStyle w:val="None"/>
                <w:rFonts w:ascii="Arial" w:hAnsi="Arial" w:cs="Arial"/>
                <w:lang w:val="en-GB"/>
              </w:rPr>
              <w:t xml:space="preserve">objective of sharing this </w:t>
            </w:r>
          </w:p>
          <w:p w14:paraId="1E77A691" w14:textId="77777777" w:rsidR="00032303" w:rsidRPr="001D5FFE" w:rsidRDefault="00965302" w:rsidP="00D0726D">
            <w:pPr>
              <w:pStyle w:val="TableStyle2A"/>
              <w:jc w:val="both"/>
              <w:rPr>
                <w:rFonts w:ascii="Arial" w:hAnsi="Arial" w:cs="Arial"/>
                <w:lang w:val="en-GB"/>
              </w:rPr>
            </w:pPr>
            <w:r w:rsidRPr="001D5FFE">
              <w:rPr>
                <w:rStyle w:val="None"/>
                <w:rFonts w:ascii="Arial" w:hAnsi="Arial" w:cs="Arial"/>
                <w:lang w:val="en-GB"/>
              </w:rPr>
              <w:t>material?</w:t>
            </w:r>
          </w:p>
        </w:tc>
        <w:tc>
          <w:tcPr>
            <w:tcW w:w="224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3DCFEE" w14:textId="77777777" w:rsidR="00032303" w:rsidRPr="001D5FFE" w:rsidRDefault="00965302" w:rsidP="00D0726D">
            <w:pPr>
              <w:pStyle w:val="TableStyle2A"/>
              <w:jc w:val="both"/>
              <w:rPr>
                <w:rFonts w:ascii="Arial" w:hAnsi="Arial" w:cs="Arial"/>
                <w:lang w:val="en-GB"/>
              </w:rPr>
            </w:pPr>
            <w:r w:rsidRPr="001D5FFE">
              <w:rPr>
                <w:rStyle w:val="None"/>
                <w:rFonts w:ascii="Arial" w:hAnsi="Arial" w:cs="Arial"/>
                <w:lang w:val="en-GB"/>
              </w:rPr>
              <w:t xml:space="preserve">State the specific day of the month that you will be sharing these materials online. </w:t>
            </w:r>
          </w:p>
        </w:tc>
        <w:tc>
          <w:tcPr>
            <w:tcW w:w="224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ED3B3" w14:textId="77777777" w:rsidR="00032303" w:rsidRPr="001D5FFE" w:rsidRDefault="00965302">
            <w:pPr>
              <w:pStyle w:val="TableStyle2A"/>
              <w:rPr>
                <w:rStyle w:val="None"/>
                <w:rFonts w:ascii="Arial" w:eastAsia="Arial" w:hAnsi="Arial" w:cs="Arial"/>
                <w:lang w:val="en-GB"/>
              </w:rPr>
            </w:pPr>
            <w:r w:rsidRPr="001D5FFE">
              <w:rPr>
                <w:rStyle w:val="None"/>
                <w:rFonts w:ascii="Arial" w:hAnsi="Arial" w:cs="Arial"/>
                <w:lang w:val="en-GB"/>
              </w:rPr>
              <w:t xml:space="preserve">How long will </w:t>
            </w:r>
          </w:p>
          <w:p w14:paraId="1DEC45C8" w14:textId="77777777" w:rsidR="00032303" w:rsidRPr="001D5FFE" w:rsidRDefault="00965302">
            <w:pPr>
              <w:pStyle w:val="TableStyle2A"/>
              <w:rPr>
                <w:rStyle w:val="None"/>
                <w:rFonts w:ascii="Arial" w:eastAsia="Arial" w:hAnsi="Arial" w:cs="Arial"/>
                <w:lang w:val="en-GB"/>
              </w:rPr>
            </w:pPr>
            <w:r w:rsidRPr="001D5FFE">
              <w:rPr>
                <w:rStyle w:val="None"/>
                <w:rFonts w:ascii="Arial" w:hAnsi="Arial" w:cs="Arial"/>
                <w:lang w:val="en-GB"/>
              </w:rPr>
              <w:t xml:space="preserve">scheduled ads or </w:t>
            </w:r>
          </w:p>
          <w:p w14:paraId="0C3DD5A3" w14:textId="77777777" w:rsidR="00032303" w:rsidRPr="001D5FFE" w:rsidRDefault="00965302">
            <w:pPr>
              <w:pStyle w:val="TableStyle2A"/>
              <w:rPr>
                <w:rFonts w:ascii="Arial" w:hAnsi="Arial" w:cs="Arial"/>
                <w:lang w:val="en-GB"/>
              </w:rPr>
            </w:pPr>
            <w:r w:rsidRPr="001D5FFE">
              <w:rPr>
                <w:rStyle w:val="None"/>
                <w:rFonts w:ascii="Arial" w:hAnsi="Arial" w:cs="Arial"/>
                <w:lang w:val="en-GB"/>
              </w:rPr>
              <w:t>promotions run for this post?</w:t>
            </w:r>
          </w:p>
        </w:tc>
      </w:tr>
      <w:tr w:rsidR="001D3736" w:rsidRPr="001D5FFE" w14:paraId="4E1BDD43" w14:textId="77777777" w:rsidTr="001D3736">
        <w:tblPrEx>
          <w:shd w:val="clear" w:color="auto" w:fill="CCDBE6"/>
        </w:tblPrEx>
        <w:trPr>
          <w:trHeight w:val="567"/>
        </w:trPr>
        <w:tc>
          <w:tcPr>
            <w:tcW w:w="2588" w:type="dxa"/>
            <w:tcBorders>
              <w:top w:val="single" w:sz="2" w:space="0" w:color="000000"/>
              <w:left w:val="single" w:sz="2" w:space="0" w:color="000000"/>
              <w:bottom w:val="single" w:sz="2" w:space="0" w:color="000000"/>
              <w:right w:val="single" w:sz="6" w:space="0" w:color="000000"/>
            </w:tcBorders>
            <w:shd w:val="clear" w:color="auto" w:fill="002060"/>
            <w:tcMar>
              <w:top w:w="80" w:type="dxa"/>
              <w:left w:w="80" w:type="dxa"/>
              <w:bottom w:w="80" w:type="dxa"/>
              <w:right w:w="80" w:type="dxa"/>
            </w:tcMar>
          </w:tcPr>
          <w:p w14:paraId="293F68D1" w14:textId="77777777" w:rsidR="00032303" w:rsidRPr="001D5FFE" w:rsidRDefault="00965302">
            <w:pPr>
              <w:pStyle w:val="BodyC"/>
              <w:rPr>
                <w:rFonts w:ascii="Arial" w:hAnsi="Arial" w:cs="Arial"/>
                <w:color w:val="FFFFFF" w:themeColor="background1"/>
                <w:lang w:val="en-GB"/>
              </w:rPr>
            </w:pPr>
            <w:r w:rsidRPr="001D5FFE">
              <w:rPr>
                <w:rStyle w:val="None"/>
                <w:rFonts w:ascii="Arial" w:hAnsi="Arial" w:cs="Arial"/>
                <w:b/>
                <w:bCs/>
                <w:color w:val="FFFFFF" w:themeColor="background1"/>
                <w:sz w:val="20"/>
                <w:szCs w:val="20"/>
                <w:lang w:val="en-GB"/>
              </w:rPr>
              <w:t xml:space="preserve">Number of likes </w:t>
            </w:r>
          </w:p>
        </w:tc>
        <w:tc>
          <w:tcPr>
            <w:tcW w:w="1899" w:type="dxa"/>
            <w:tcBorders>
              <w:top w:val="single" w:sz="2" w:space="0" w:color="000000"/>
              <w:left w:val="single" w:sz="6" w:space="0" w:color="000000"/>
              <w:bottom w:val="single" w:sz="2" w:space="0" w:color="000000"/>
              <w:right w:val="single" w:sz="2" w:space="0" w:color="000000"/>
            </w:tcBorders>
            <w:shd w:val="clear" w:color="auto" w:fill="002060"/>
            <w:tcMar>
              <w:top w:w="80" w:type="dxa"/>
              <w:left w:w="80" w:type="dxa"/>
              <w:bottom w:w="80" w:type="dxa"/>
              <w:right w:w="80" w:type="dxa"/>
            </w:tcMar>
          </w:tcPr>
          <w:p w14:paraId="00A4EF93" w14:textId="77777777" w:rsidR="00032303" w:rsidRPr="001D5FFE" w:rsidRDefault="00965302">
            <w:pPr>
              <w:pStyle w:val="TableStyle2A"/>
              <w:rPr>
                <w:rStyle w:val="None"/>
                <w:rFonts w:ascii="Arial" w:eastAsia="Arial" w:hAnsi="Arial" w:cs="Arial"/>
                <w:b/>
                <w:bCs/>
                <w:color w:val="FFFFFF" w:themeColor="background1"/>
                <w:lang w:val="en-GB"/>
              </w:rPr>
            </w:pPr>
            <w:r w:rsidRPr="001D5FFE">
              <w:rPr>
                <w:rStyle w:val="None"/>
                <w:rFonts w:ascii="Arial" w:hAnsi="Arial" w:cs="Arial"/>
                <w:b/>
                <w:bCs/>
                <w:color w:val="FFFFFF" w:themeColor="background1"/>
                <w:lang w:val="en-GB"/>
              </w:rPr>
              <w:t xml:space="preserve">Number of </w:t>
            </w:r>
          </w:p>
          <w:p w14:paraId="52877F1E" w14:textId="77777777" w:rsidR="00032303" w:rsidRPr="001D5FFE" w:rsidRDefault="00965302">
            <w:pPr>
              <w:pStyle w:val="TableStyle2A"/>
              <w:rPr>
                <w:rFonts w:ascii="Arial" w:hAnsi="Arial" w:cs="Arial"/>
                <w:b/>
                <w:bCs/>
                <w:color w:val="FFFFFF" w:themeColor="background1"/>
                <w:lang w:val="en-GB"/>
              </w:rPr>
            </w:pPr>
            <w:r w:rsidRPr="001D5FFE">
              <w:rPr>
                <w:rStyle w:val="None"/>
                <w:rFonts w:ascii="Arial" w:hAnsi="Arial" w:cs="Arial"/>
                <w:b/>
                <w:bCs/>
                <w:color w:val="FFFFFF" w:themeColor="background1"/>
                <w:lang w:val="en-GB"/>
              </w:rPr>
              <w:t xml:space="preserve">Comments </w:t>
            </w:r>
          </w:p>
        </w:tc>
        <w:tc>
          <w:tcPr>
            <w:tcW w:w="2243" w:type="dxa"/>
            <w:tcBorders>
              <w:top w:val="single" w:sz="2" w:space="0" w:color="000000"/>
              <w:left w:val="single" w:sz="2" w:space="0" w:color="000000"/>
              <w:bottom w:val="single" w:sz="2" w:space="0" w:color="000000"/>
              <w:right w:val="single" w:sz="2" w:space="0" w:color="000000"/>
            </w:tcBorders>
            <w:shd w:val="clear" w:color="auto" w:fill="002060"/>
            <w:tcMar>
              <w:top w:w="80" w:type="dxa"/>
              <w:left w:w="80" w:type="dxa"/>
              <w:bottom w:w="80" w:type="dxa"/>
              <w:right w:w="80" w:type="dxa"/>
            </w:tcMar>
          </w:tcPr>
          <w:p w14:paraId="33247BE4" w14:textId="77777777" w:rsidR="00032303" w:rsidRPr="001D5FFE" w:rsidRDefault="00965302">
            <w:pPr>
              <w:pStyle w:val="TableStyle2A"/>
              <w:rPr>
                <w:rFonts w:ascii="Arial" w:hAnsi="Arial" w:cs="Arial"/>
                <w:b/>
                <w:bCs/>
                <w:color w:val="FFFFFF" w:themeColor="background1"/>
                <w:lang w:val="en-GB"/>
              </w:rPr>
            </w:pPr>
            <w:r w:rsidRPr="001D5FFE">
              <w:rPr>
                <w:rStyle w:val="None"/>
                <w:rFonts w:ascii="Arial" w:hAnsi="Arial" w:cs="Arial"/>
                <w:b/>
                <w:bCs/>
                <w:color w:val="FFFFFF" w:themeColor="background1"/>
                <w:lang w:val="en-GB"/>
              </w:rPr>
              <w:t xml:space="preserve">Number of Shares </w:t>
            </w:r>
          </w:p>
        </w:tc>
        <w:tc>
          <w:tcPr>
            <w:tcW w:w="2244" w:type="dxa"/>
            <w:tcBorders>
              <w:top w:val="single" w:sz="2" w:space="0" w:color="000000"/>
              <w:left w:val="single" w:sz="2" w:space="0" w:color="000000"/>
              <w:bottom w:val="single" w:sz="2" w:space="0" w:color="000000"/>
              <w:right w:val="single" w:sz="2" w:space="0" w:color="000000"/>
            </w:tcBorders>
            <w:shd w:val="clear" w:color="auto" w:fill="002060"/>
            <w:tcMar>
              <w:top w:w="80" w:type="dxa"/>
              <w:left w:w="80" w:type="dxa"/>
              <w:bottom w:w="80" w:type="dxa"/>
              <w:right w:w="80" w:type="dxa"/>
            </w:tcMar>
          </w:tcPr>
          <w:p w14:paraId="19B19E8A" w14:textId="77777777" w:rsidR="00032303" w:rsidRPr="001D5FFE" w:rsidRDefault="00965302">
            <w:pPr>
              <w:pStyle w:val="TableStyle2A"/>
              <w:rPr>
                <w:rFonts w:ascii="Arial" w:hAnsi="Arial" w:cs="Arial"/>
                <w:b/>
                <w:bCs/>
                <w:color w:val="FFFFFF" w:themeColor="background1"/>
                <w:lang w:val="en-GB"/>
              </w:rPr>
            </w:pPr>
            <w:r w:rsidRPr="001D5FFE">
              <w:rPr>
                <w:rStyle w:val="None"/>
                <w:rFonts w:ascii="Arial" w:hAnsi="Arial" w:cs="Arial"/>
                <w:b/>
                <w:bCs/>
                <w:color w:val="FFFFFF" w:themeColor="background1"/>
                <w:lang w:val="en-GB"/>
              </w:rPr>
              <w:t xml:space="preserve">Total </w:t>
            </w:r>
          </w:p>
        </w:tc>
      </w:tr>
      <w:tr w:rsidR="00032303" w:rsidRPr="001D5FFE" w14:paraId="584F62D7" w14:textId="77777777">
        <w:tblPrEx>
          <w:shd w:val="clear" w:color="auto" w:fill="CCDBE6"/>
        </w:tblPrEx>
        <w:trPr>
          <w:trHeight w:val="2527"/>
        </w:trPr>
        <w:tc>
          <w:tcPr>
            <w:tcW w:w="258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E0437F9" w14:textId="0621FA3C" w:rsidR="00032303" w:rsidRPr="001D5FFE" w:rsidRDefault="00965302" w:rsidP="00D0726D">
            <w:pPr>
              <w:pStyle w:val="BodyC"/>
              <w:jc w:val="both"/>
              <w:rPr>
                <w:rFonts w:ascii="Arial" w:hAnsi="Arial" w:cs="Arial"/>
                <w:lang w:val="en-GB"/>
              </w:rPr>
            </w:pPr>
            <w:r w:rsidRPr="001D5FFE">
              <w:rPr>
                <w:rStyle w:val="None"/>
                <w:rFonts w:ascii="Arial" w:hAnsi="Arial" w:cs="Arial"/>
                <w:b/>
                <w:bCs/>
                <w:sz w:val="20"/>
                <w:szCs w:val="20"/>
                <w:lang w:val="en-GB"/>
              </w:rPr>
              <w:t>This is the number of persons who interact with your material posted by like or double tap</w:t>
            </w:r>
            <w:r w:rsidR="000672D1" w:rsidRPr="001D5FFE">
              <w:rPr>
                <w:rStyle w:val="None"/>
                <w:rFonts w:ascii="Arial" w:hAnsi="Arial" w:cs="Arial"/>
                <w:b/>
                <w:bCs/>
                <w:sz w:val="20"/>
                <w:szCs w:val="20"/>
                <w:lang w:val="en-GB"/>
              </w:rPr>
              <w:t>.</w:t>
            </w:r>
          </w:p>
        </w:tc>
        <w:tc>
          <w:tcPr>
            <w:tcW w:w="189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2E3FCC3" w14:textId="77777777" w:rsidR="00032303" w:rsidRPr="001D5FFE" w:rsidRDefault="00965302" w:rsidP="00D0726D">
            <w:pPr>
              <w:pStyle w:val="TableStyle2A"/>
              <w:jc w:val="both"/>
              <w:rPr>
                <w:rStyle w:val="None"/>
                <w:rFonts w:ascii="Arial" w:eastAsia="Arial" w:hAnsi="Arial" w:cs="Arial"/>
                <w:sz w:val="24"/>
                <w:szCs w:val="24"/>
                <w:lang w:val="en-GB"/>
              </w:rPr>
            </w:pPr>
            <w:r w:rsidRPr="001D5FFE">
              <w:rPr>
                <w:rStyle w:val="None"/>
                <w:rFonts w:ascii="Arial" w:hAnsi="Arial" w:cs="Arial"/>
                <w:lang w:val="en-GB"/>
              </w:rPr>
              <w:t xml:space="preserve">Number of </w:t>
            </w:r>
          </w:p>
          <w:p w14:paraId="1F648C40" w14:textId="77777777" w:rsidR="00032303" w:rsidRPr="001D5FFE" w:rsidRDefault="00965302" w:rsidP="00D0726D">
            <w:pPr>
              <w:pStyle w:val="TableStyle2A"/>
              <w:jc w:val="both"/>
              <w:rPr>
                <w:rStyle w:val="None"/>
                <w:rFonts w:ascii="Arial" w:eastAsia="Arial" w:hAnsi="Arial" w:cs="Arial"/>
                <w:lang w:val="en-GB"/>
              </w:rPr>
            </w:pPr>
            <w:r w:rsidRPr="001D5FFE">
              <w:rPr>
                <w:rStyle w:val="None"/>
                <w:rFonts w:ascii="Arial" w:hAnsi="Arial" w:cs="Arial"/>
                <w:lang w:val="en-GB"/>
              </w:rPr>
              <w:t xml:space="preserve">individual </w:t>
            </w:r>
          </w:p>
          <w:p w14:paraId="6F652AB2" w14:textId="77777777" w:rsidR="00032303" w:rsidRPr="001D5FFE" w:rsidRDefault="00965302" w:rsidP="00D0726D">
            <w:pPr>
              <w:pStyle w:val="TableStyle2A"/>
              <w:jc w:val="both"/>
              <w:rPr>
                <w:rStyle w:val="None"/>
                <w:rFonts w:ascii="Arial" w:eastAsia="Arial" w:hAnsi="Arial" w:cs="Arial"/>
                <w:lang w:val="en-GB"/>
              </w:rPr>
            </w:pPr>
            <w:r w:rsidRPr="001D5FFE">
              <w:rPr>
                <w:rStyle w:val="None"/>
                <w:rFonts w:ascii="Arial" w:hAnsi="Arial" w:cs="Arial"/>
                <w:lang w:val="en-GB"/>
              </w:rPr>
              <w:t xml:space="preserve">comments on </w:t>
            </w:r>
          </w:p>
          <w:p w14:paraId="1723D864" w14:textId="77777777" w:rsidR="00032303" w:rsidRPr="001D5FFE" w:rsidRDefault="00965302" w:rsidP="00D0726D">
            <w:pPr>
              <w:pStyle w:val="TableStyle2A"/>
              <w:jc w:val="both"/>
              <w:rPr>
                <w:rStyle w:val="None"/>
                <w:rFonts w:ascii="Arial" w:eastAsia="Arial" w:hAnsi="Arial" w:cs="Arial"/>
                <w:lang w:val="en-GB"/>
              </w:rPr>
            </w:pPr>
            <w:r w:rsidRPr="001D5FFE">
              <w:rPr>
                <w:rStyle w:val="None"/>
                <w:rFonts w:ascii="Arial" w:hAnsi="Arial" w:cs="Arial"/>
                <w:lang w:val="en-GB"/>
              </w:rPr>
              <w:t xml:space="preserve">material posted. Each comment counts as one measure of </w:t>
            </w:r>
          </w:p>
          <w:p w14:paraId="55313331" w14:textId="6089757C" w:rsidR="00032303" w:rsidRPr="001D5FFE" w:rsidRDefault="00965302" w:rsidP="00D0726D">
            <w:pPr>
              <w:pStyle w:val="TableStyle2A"/>
              <w:jc w:val="both"/>
              <w:rPr>
                <w:rFonts w:ascii="Arial" w:hAnsi="Arial" w:cs="Arial"/>
                <w:lang w:val="en-GB"/>
              </w:rPr>
            </w:pPr>
            <w:r w:rsidRPr="001D5FFE">
              <w:rPr>
                <w:rStyle w:val="None"/>
                <w:rFonts w:ascii="Arial" w:hAnsi="Arial" w:cs="Arial"/>
                <w:lang w:val="en-GB"/>
              </w:rPr>
              <w:t>interaction with the material</w:t>
            </w:r>
            <w:r w:rsidR="00FE414B" w:rsidRPr="001D5FFE">
              <w:rPr>
                <w:rStyle w:val="None"/>
                <w:rFonts w:ascii="Arial" w:hAnsi="Arial" w:cs="Arial"/>
                <w:lang w:val="en-GB"/>
              </w:rPr>
              <w:t>.</w:t>
            </w:r>
          </w:p>
        </w:tc>
        <w:tc>
          <w:tcPr>
            <w:tcW w:w="2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85C7D9" w14:textId="77777777" w:rsidR="00032303" w:rsidRPr="001D5FFE" w:rsidRDefault="00965302" w:rsidP="00D0726D">
            <w:pPr>
              <w:pStyle w:val="TableStyle2A"/>
              <w:jc w:val="both"/>
              <w:rPr>
                <w:rStyle w:val="None"/>
                <w:rFonts w:ascii="Arial" w:eastAsia="Arial" w:hAnsi="Arial" w:cs="Arial"/>
                <w:lang w:val="en-GB"/>
              </w:rPr>
            </w:pPr>
            <w:r w:rsidRPr="001D5FFE">
              <w:rPr>
                <w:rStyle w:val="None"/>
                <w:rFonts w:ascii="Arial" w:hAnsi="Arial" w:cs="Arial"/>
                <w:lang w:val="en-GB"/>
              </w:rPr>
              <w:t xml:space="preserve">The number of persons that “share” or </w:t>
            </w:r>
          </w:p>
          <w:p w14:paraId="53559171" w14:textId="5E8F86D9" w:rsidR="00032303" w:rsidRPr="001D5FFE" w:rsidRDefault="00965302" w:rsidP="00D0726D">
            <w:pPr>
              <w:pStyle w:val="TableStyle2A"/>
              <w:jc w:val="both"/>
              <w:rPr>
                <w:rStyle w:val="None"/>
                <w:rFonts w:ascii="Arial" w:eastAsia="Arial" w:hAnsi="Arial" w:cs="Arial"/>
                <w:color w:val="auto"/>
                <w:sz w:val="24"/>
                <w:szCs w:val="24"/>
                <w:lang w:val="en-GB"/>
              </w:rPr>
            </w:pPr>
            <w:r w:rsidRPr="001D5FFE">
              <w:rPr>
                <w:rStyle w:val="None"/>
                <w:rFonts w:ascii="Arial" w:hAnsi="Arial" w:cs="Arial"/>
                <w:lang w:val="en-GB"/>
              </w:rPr>
              <w:t xml:space="preserve">“retweet” content to </w:t>
            </w:r>
            <w:r w:rsidR="00D0726D" w:rsidRPr="001D5FFE">
              <w:rPr>
                <w:rStyle w:val="None"/>
                <w:rFonts w:ascii="Arial" w:hAnsi="Arial" w:cs="Arial"/>
                <w:lang w:val="en-GB"/>
              </w:rPr>
              <w:t>their immediate</w:t>
            </w:r>
          </w:p>
          <w:p w14:paraId="14B98FF8" w14:textId="652A36E5" w:rsidR="00032303" w:rsidRPr="001D5FFE" w:rsidRDefault="00965302" w:rsidP="00D0726D">
            <w:pPr>
              <w:pStyle w:val="TableStyle2A"/>
              <w:jc w:val="both"/>
              <w:rPr>
                <w:rFonts w:ascii="Arial" w:hAnsi="Arial" w:cs="Arial"/>
                <w:lang w:val="en-GB"/>
              </w:rPr>
            </w:pPr>
            <w:r w:rsidRPr="001D5FFE">
              <w:rPr>
                <w:rStyle w:val="None"/>
                <w:rFonts w:ascii="Arial" w:hAnsi="Arial" w:cs="Arial"/>
                <w:lang w:val="en-GB"/>
              </w:rPr>
              <w:t>virtual network</w:t>
            </w:r>
            <w:r w:rsidR="00FE414B" w:rsidRPr="001D5FFE">
              <w:rPr>
                <w:rStyle w:val="None"/>
                <w:rFonts w:ascii="Arial" w:hAnsi="Arial" w:cs="Arial"/>
                <w:lang w:val="en-GB"/>
              </w:rPr>
              <w:t>.</w:t>
            </w:r>
            <w:r w:rsidRPr="001D5FFE">
              <w:rPr>
                <w:rStyle w:val="None"/>
                <w:rFonts w:ascii="Arial" w:hAnsi="Arial" w:cs="Arial"/>
                <w:lang w:val="en-GB"/>
              </w:rPr>
              <w:t xml:space="preserve"> </w:t>
            </w:r>
          </w:p>
        </w:tc>
        <w:tc>
          <w:tcPr>
            <w:tcW w:w="2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4D07F" w14:textId="6B898470" w:rsidR="00032303" w:rsidRPr="001D5FFE" w:rsidRDefault="00965302">
            <w:pPr>
              <w:pStyle w:val="TableStyle2A"/>
              <w:rPr>
                <w:rFonts w:ascii="Arial" w:hAnsi="Arial" w:cs="Arial"/>
                <w:lang w:val="en-GB"/>
              </w:rPr>
            </w:pPr>
            <w:r w:rsidRPr="001D5FFE">
              <w:rPr>
                <w:rStyle w:val="None"/>
                <w:rFonts w:ascii="Arial" w:hAnsi="Arial" w:cs="Arial"/>
                <w:lang w:val="en-GB"/>
              </w:rPr>
              <w:t>The total number of likes, comments and shares</w:t>
            </w:r>
            <w:r w:rsidR="00FE414B" w:rsidRPr="001D5FFE">
              <w:rPr>
                <w:rStyle w:val="None"/>
                <w:rFonts w:ascii="Arial" w:hAnsi="Arial" w:cs="Arial"/>
                <w:lang w:val="en-GB"/>
              </w:rPr>
              <w:t>.</w:t>
            </w:r>
            <w:r w:rsidRPr="001D5FFE">
              <w:rPr>
                <w:rStyle w:val="None"/>
                <w:rFonts w:ascii="Arial" w:hAnsi="Arial" w:cs="Arial"/>
                <w:lang w:val="en-GB"/>
              </w:rPr>
              <w:t xml:space="preserve"> </w:t>
            </w:r>
          </w:p>
        </w:tc>
      </w:tr>
      <w:tr w:rsidR="001D3736" w:rsidRPr="001D5FFE" w14:paraId="361DB03E" w14:textId="77777777" w:rsidTr="001D3736">
        <w:tblPrEx>
          <w:shd w:val="clear" w:color="auto" w:fill="CCDBE6"/>
        </w:tblPrEx>
        <w:trPr>
          <w:trHeight w:val="295"/>
        </w:trPr>
        <w:tc>
          <w:tcPr>
            <w:tcW w:w="2588" w:type="dxa"/>
            <w:tcBorders>
              <w:top w:val="single" w:sz="2" w:space="0" w:color="000000"/>
              <w:left w:val="single" w:sz="2" w:space="0" w:color="000000"/>
              <w:bottom w:val="single" w:sz="2" w:space="0" w:color="000000"/>
              <w:right w:val="single" w:sz="6" w:space="0" w:color="000000"/>
            </w:tcBorders>
            <w:shd w:val="clear" w:color="auto" w:fill="002060"/>
            <w:tcMar>
              <w:top w:w="80" w:type="dxa"/>
              <w:left w:w="80" w:type="dxa"/>
              <w:bottom w:w="80" w:type="dxa"/>
              <w:right w:w="80" w:type="dxa"/>
            </w:tcMar>
          </w:tcPr>
          <w:p w14:paraId="788FAF9D" w14:textId="77777777" w:rsidR="00032303" w:rsidRPr="001D5FFE" w:rsidRDefault="00965302">
            <w:pPr>
              <w:pStyle w:val="BodyC"/>
              <w:rPr>
                <w:rFonts w:ascii="Arial" w:hAnsi="Arial" w:cs="Arial"/>
                <w:color w:val="FFFFFF" w:themeColor="background1"/>
                <w:lang w:val="en-GB"/>
              </w:rPr>
            </w:pPr>
            <w:r w:rsidRPr="001D5FFE">
              <w:rPr>
                <w:rStyle w:val="None"/>
                <w:rFonts w:ascii="Arial" w:hAnsi="Arial" w:cs="Arial"/>
                <w:b/>
                <w:bCs/>
                <w:color w:val="FFFFFF" w:themeColor="background1"/>
                <w:sz w:val="20"/>
                <w:szCs w:val="20"/>
                <w:lang w:val="en-GB"/>
              </w:rPr>
              <w:t xml:space="preserve">Engagement Rate </w:t>
            </w:r>
          </w:p>
        </w:tc>
        <w:tc>
          <w:tcPr>
            <w:tcW w:w="1899" w:type="dxa"/>
            <w:tcBorders>
              <w:top w:val="single" w:sz="2" w:space="0" w:color="000000"/>
              <w:left w:val="single" w:sz="6" w:space="0" w:color="000000"/>
              <w:bottom w:val="single" w:sz="2" w:space="0" w:color="000000"/>
              <w:right w:val="single" w:sz="2" w:space="0" w:color="000000"/>
            </w:tcBorders>
            <w:shd w:val="clear" w:color="auto" w:fill="002060"/>
            <w:tcMar>
              <w:top w:w="80" w:type="dxa"/>
              <w:left w:w="80" w:type="dxa"/>
              <w:bottom w:w="80" w:type="dxa"/>
              <w:right w:w="80" w:type="dxa"/>
            </w:tcMar>
          </w:tcPr>
          <w:p w14:paraId="3B510E40" w14:textId="77777777" w:rsidR="00032303" w:rsidRPr="001D5FFE" w:rsidRDefault="00965302">
            <w:pPr>
              <w:pStyle w:val="TableStyle2A"/>
              <w:rPr>
                <w:rFonts w:ascii="Arial" w:hAnsi="Arial" w:cs="Arial"/>
                <w:b/>
                <w:bCs/>
                <w:color w:val="FFFFFF" w:themeColor="background1"/>
                <w:lang w:val="en-GB"/>
              </w:rPr>
            </w:pPr>
            <w:r w:rsidRPr="001D5FFE">
              <w:rPr>
                <w:rStyle w:val="None"/>
                <w:rFonts w:ascii="Arial" w:hAnsi="Arial" w:cs="Arial"/>
                <w:b/>
                <w:bCs/>
                <w:color w:val="FFFFFF" w:themeColor="background1"/>
                <w:lang w:val="en-GB"/>
              </w:rPr>
              <w:t xml:space="preserve">Fans to date </w:t>
            </w:r>
          </w:p>
        </w:tc>
        <w:tc>
          <w:tcPr>
            <w:tcW w:w="2243" w:type="dxa"/>
            <w:tcBorders>
              <w:top w:val="single" w:sz="2" w:space="0" w:color="000000"/>
              <w:left w:val="single" w:sz="2" w:space="0" w:color="000000"/>
              <w:bottom w:val="single" w:sz="2" w:space="0" w:color="000000"/>
              <w:right w:val="single" w:sz="2" w:space="0" w:color="000000"/>
            </w:tcBorders>
            <w:shd w:val="clear" w:color="auto" w:fill="002060"/>
            <w:tcMar>
              <w:top w:w="80" w:type="dxa"/>
              <w:left w:w="80" w:type="dxa"/>
              <w:bottom w:w="80" w:type="dxa"/>
              <w:right w:w="80" w:type="dxa"/>
            </w:tcMar>
          </w:tcPr>
          <w:p w14:paraId="2F9C7C9A" w14:textId="77777777" w:rsidR="00032303" w:rsidRPr="001D5FFE" w:rsidRDefault="00032303">
            <w:pPr>
              <w:rPr>
                <w:rFonts w:ascii="Arial" w:hAnsi="Arial" w:cs="Arial"/>
                <w:color w:val="FFFFFF" w:themeColor="background1"/>
              </w:rPr>
            </w:pPr>
          </w:p>
        </w:tc>
        <w:tc>
          <w:tcPr>
            <w:tcW w:w="2244" w:type="dxa"/>
            <w:tcBorders>
              <w:top w:val="single" w:sz="2" w:space="0" w:color="000000"/>
              <w:left w:val="single" w:sz="2" w:space="0" w:color="000000"/>
              <w:bottom w:val="single" w:sz="2" w:space="0" w:color="000000"/>
              <w:right w:val="single" w:sz="2" w:space="0" w:color="000000"/>
            </w:tcBorders>
            <w:shd w:val="clear" w:color="auto" w:fill="002060"/>
            <w:tcMar>
              <w:top w:w="80" w:type="dxa"/>
              <w:left w:w="80" w:type="dxa"/>
              <w:bottom w:w="80" w:type="dxa"/>
              <w:right w:w="80" w:type="dxa"/>
            </w:tcMar>
          </w:tcPr>
          <w:p w14:paraId="2164E123" w14:textId="77777777" w:rsidR="00032303" w:rsidRPr="001D5FFE" w:rsidRDefault="00032303">
            <w:pPr>
              <w:rPr>
                <w:rFonts w:ascii="Arial" w:hAnsi="Arial" w:cs="Arial"/>
                <w:color w:val="FFFFFF" w:themeColor="background1"/>
              </w:rPr>
            </w:pPr>
          </w:p>
        </w:tc>
      </w:tr>
      <w:tr w:rsidR="00032303" w:rsidRPr="001D5FFE" w14:paraId="3D6A89E0" w14:textId="77777777">
        <w:tblPrEx>
          <w:shd w:val="clear" w:color="auto" w:fill="CCDBE6"/>
        </w:tblPrEx>
        <w:trPr>
          <w:trHeight w:val="1127"/>
        </w:trPr>
        <w:tc>
          <w:tcPr>
            <w:tcW w:w="2588"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BFEFAAA" w14:textId="685315A7" w:rsidR="00032303" w:rsidRPr="001D5FFE" w:rsidRDefault="00965302">
            <w:pPr>
              <w:pStyle w:val="BodyC"/>
              <w:rPr>
                <w:rFonts w:ascii="Arial" w:hAnsi="Arial" w:cs="Arial"/>
                <w:lang w:val="en-GB"/>
              </w:rPr>
            </w:pPr>
            <w:r w:rsidRPr="001D5FFE">
              <w:rPr>
                <w:rStyle w:val="None"/>
                <w:rFonts w:ascii="Arial" w:hAnsi="Arial" w:cs="Arial"/>
                <w:b/>
                <w:bCs/>
                <w:sz w:val="20"/>
                <w:szCs w:val="20"/>
                <w:lang w:val="en-GB"/>
              </w:rPr>
              <w:lastRenderedPageBreak/>
              <w:t xml:space="preserve">The number of likes + comments + shares/Fans </w:t>
            </w:r>
          </w:p>
        </w:tc>
        <w:tc>
          <w:tcPr>
            <w:tcW w:w="1899"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FE311D0" w14:textId="1D27F914" w:rsidR="00032303" w:rsidRPr="001D5FFE" w:rsidRDefault="00965302">
            <w:pPr>
              <w:pStyle w:val="TableStyle2A"/>
              <w:rPr>
                <w:rFonts w:ascii="Arial" w:hAnsi="Arial" w:cs="Arial"/>
                <w:lang w:val="en-GB"/>
              </w:rPr>
            </w:pPr>
            <w:r w:rsidRPr="001D5FFE">
              <w:rPr>
                <w:rStyle w:val="None"/>
                <w:rFonts w:ascii="Arial" w:hAnsi="Arial" w:cs="Arial"/>
                <w:lang w:val="en-GB"/>
              </w:rPr>
              <w:t>The total number of followers, page likes</w:t>
            </w:r>
            <w:r w:rsidR="00FE414B" w:rsidRPr="001D5FFE">
              <w:rPr>
                <w:rStyle w:val="None"/>
                <w:rFonts w:ascii="Arial" w:hAnsi="Arial" w:cs="Arial"/>
                <w:lang w:val="en-GB"/>
              </w:rPr>
              <w:t xml:space="preserve"> etc</w:t>
            </w:r>
            <w:r w:rsidR="003C092C" w:rsidRPr="001D5FFE">
              <w:rPr>
                <w:rStyle w:val="None"/>
                <w:rFonts w:ascii="Arial" w:hAnsi="Arial" w:cs="Arial"/>
                <w:lang w:val="en-GB"/>
              </w:rPr>
              <w:t>.</w:t>
            </w:r>
          </w:p>
        </w:tc>
        <w:tc>
          <w:tcPr>
            <w:tcW w:w="22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2F5265" w14:textId="77777777" w:rsidR="00032303" w:rsidRPr="001D5FFE" w:rsidRDefault="00032303">
            <w:pPr>
              <w:rPr>
                <w:rFonts w:ascii="Arial" w:hAnsi="Arial" w:cs="Arial"/>
              </w:rPr>
            </w:pPr>
          </w:p>
        </w:tc>
        <w:tc>
          <w:tcPr>
            <w:tcW w:w="2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8D405" w14:textId="77777777" w:rsidR="00032303" w:rsidRPr="001D5FFE" w:rsidRDefault="00032303">
            <w:pPr>
              <w:rPr>
                <w:rFonts w:ascii="Arial" w:hAnsi="Arial" w:cs="Arial"/>
              </w:rPr>
            </w:pPr>
          </w:p>
        </w:tc>
      </w:tr>
    </w:tbl>
    <w:p w14:paraId="74AA2AA4" w14:textId="660D421F" w:rsidR="00032303" w:rsidRPr="001D5FFE" w:rsidRDefault="00032303" w:rsidP="00FD6F85">
      <w:pPr>
        <w:pStyle w:val="BodyA"/>
        <w:widowControl w:val="0"/>
        <w:suppressAutoHyphens/>
        <w:rPr>
          <w:lang w:val="en-GB"/>
        </w:rPr>
      </w:pPr>
    </w:p>
    <w:p w14:paraId="2636C4E1" w14:textId="77777777" w:rsidR="00032303" w:rsidRPr="001D5FFE" w:rsidRDefault="00032303">
      <w:pPr>
        <w:pStyle w:val="BodyA"/>
        <w:suppressAutoHyphens/>
        <w:rPr>
          <w:lang w:val="en-GB"/>
        </w:rPr>
      </w:pPr>
    </w:p>
    <w:p w14:paraId="1E2BA07D"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Budgeting </w:t>
      </w:r>
    </w:p>
    <w:p w14:paraId="0AB8B075" w14:textId="585D9DA9" w:rsidR="00032303" w:rsidRPr="001D5FFE" w:rsidRDefault="00965302">
      <w:pPr>
        <w:pStyle w:val="BodyA"/>
        <w:suppressAutoHyphens/>
        <w:rPr>
          <w:lang w:val="en-GB"/>
        </w:rPr>
      </w:pPr>
      <w:r w:rsidRPr="001D5FFE">
        <w:rPr>
          <w:lang w:val="en-GB"/>
        </w:rPr>
        <w:t>I</w:t>
      </w:r>
      <w:r w:rsidR="00413E2D" w:rsidRPr="001D5FFE">
        <w:rPr>
          <w:lang w:val="en-GB"/>
        </w:rPr>
        <w:t>t is i</w:t>
      </w:r>
      <w:r w:rsidRPr="001D5FFE">
        <w:rPr>
          <w:lang w:val="en-GB"/>
        </w:rPr>
        <w:t>mperative to the accurate tracking of activities and allocation of CV funds</w:t>
      </w:r>
      <w:r w:rsidR="00413E2D" w:rsidRPr="001D5FFE">
        <w:rPr>
          <w:lang w:val="en-GB"/>
        </w:rPr>
        <w:t xml:space="preserve"> that</w:t>
      </w:r>
      <w:r w:rsidR="007E06C2" w:rsidRPr="001D5FFE">
        <w:rPr>
          <w:lang w:val="en-GB"/>
        </w:rPr>
        <w:t xml:space="preserve"> </w:t>
      </w:r>
      <w:r w:rsidRPr="001D5FFE">
        <w:rPr>
          <w:lang w:val="en-GB"/>
        </w:rPr>
        <w:t>grantees are encouraged to create a budget template for same</w:t>
      </w:r>
      <w:r w:rsidR="00413E2D" w:rsidRPr="001D5FFE">
        <w:rPr>
          <w:lang w:val="en-GB"/>
        </w:rPr>
        <w:t>. A</w:t>
      </w:r>
      <w:r w:rsidRPr="001D5FFE">
        <w:rPr>
          <w:lang w:val="en-GB"/>
        </w:rPr>
        <w:t xml:space="preserve"> template</w:t>
      </w:r>
      <w:r w:rsidR="007E06C2" w:rsidRPr="001D5FFE">
        <w:rPr>
          <w:lang w:val="en-GB"/>
        </w:rPr>
        <w:t xml:space="preserve"> </w:t>
      </w:r>
      <w:r w:rsidRPr="001D5FFE">
        <w:rPr>
          <w:lang w:val="en-GB"/>
        </w:rPr>
        <w:t xml:space="preserve">is provided below. </w:t>
      </w:r>
    </w:p>
    <w:p w14:paraId="6A563232" w14:textId="77777777" w:rsidR="00032303" w:rsidRPr="001D5FFE" w:rsidRDefault="00032303">
      <w:pPr>
        <w:pStyle w:val="BodyA"/>
        <w:suppressAutoHyphens/>
        <w:rPr>
          <w:lang w:val="en-GB"/>
        </w:rPr>
      </w:pPr>
    </w:p>
    <w:p w14:paraId="07D0A320" w14:textId="1A76424D" w:rsidR="00032303" w:rsidRPr="001D5FFE" w:rsidRDefault="00965302">
      <w:pPr>
        <w:pStyle w:val="BodyA"/>
        <w:suppressAutoHyphens/>
        <w:rPr>
          <w:lang w:val="en-GB"/>
        </w:rPr>
      </w:pPr>
      <w:r w:rsidRPr="001D5FFE">
        <w:rPr>
          <w:lang w:val="en-GB"/>
        </w:rPr>
        <w:t xml:space="preserve">Using the guidelines outlined, </w:t>
      </w:r>
      <w:r w:rsidR="0017183F" w:rsidRPr="001D5FFE">
        <w:rPr>
          <w:lang w:val="en-GB"/>
        </w:rPr>
        <w:t>grantees must</w:t>
      </w:r>
      <w:r w:rsidRPr="001D5FFE">
        <w:rPr>
          <w:lang w:val="en-GB"/>
        </w:rPr>
        <w:t xml:space="preserve"> complete the Communications, Visibility and Outreach Plan </w:t>
      </w:r>
      <w:r w:rsidR="001D3CCC" w:rsidRPr="001D5FFE">
        <w:rPr>
          <w:lang w:val="en-GB"/>
        </w:rPr>
        <w:t>and</w:t>
      </w:r>
      <w:r w:rsidRPr="001D5FFE">
        <w:rPr>
          <w:lang w:val="en-GB"/>
        </w:rPr>
        <w:t xml:space="preserve"> Budget document (Annex I) for submission and review to the RESEMBID Communications Unit. This plan and budget must be approved before any contracts will be signed. </w:t>
      </w:r>
    </w:p>
    <w:p w14:paraId="51D73055" w14:textId="77777777" w:rsidR="00032303" w:rsidRPr="001D5FFE" w:rsidRDefault="00032303">
      <w:pPr>
        <w:pStyle w:val="BodyA"/>
        <w:rPr>
          <w:lang w:val="en-GB"/>
        </w:rPr>
      </w:pPr>
    </w:p>
    <w:p w14:paraId="4766073E" w14:textId="77777777" w:rsidR="00032303" w:rsidRPr="001D5FFE" w:rsidRDefault="00965302">
      <w:pPr>
        <w:pStyle w:val="Heading"/>
        <w:suppressAutoHyphens/>
        <w:rPr>
          <w:rFonts w:cs="Arial"/>
          <w:color w:val="002060"/>
          <w:lang w:val="en-GB"/>
        </w:rPr>
      </w:pPr>
      <w:r w:rsidRPr="001D5FFE">
        <w:rPr>
          <w:rFonts w:cs="Arial"/>
          <w:color w:val="002060"/>
          <w:lang w:val="en-GB"/>
        </w:rPr>
        <w:t xml:space="preserve">MEAL - Monitoring and Evaluation </w:t>
      </w:r>
    </w:p>
    <w:p w14:paraId="3030B19D" w14:textId="77777777" w:rsidR="00032303" w:rsidRPr="001D5FFE" w:rsidRDefault="00032303">
      <w:pPr>
        <w:pStyle w:val="Default"/>
        <w:suppressAutoHyphens/>
        <w:spacing w:line="280" w:lineRule="atLeast"/>
        <w:rPr>
          <w:rStyle w:val="None"/>
          <w:rFonts w:ascii="Arial" w:eastAsia="Arial" w:hAnsi="Arial" w:cs="Arial"/>
          <w:sz w:val="20"/>
          <w:szCs w:val="20"/>
          <w:lang w:val="en-GB"/>
        </w:rPr>
      </w:pPr>
    </w:p>
    <w:p w14:paraId="571A9093" w14:textId="550454D7" w:rsidR="00032303" w:rsidRPr="001D5FFE" w:rsidRDefault="00965302">
      <w:pPr>
        <w:pStyle w:val="BodyA"/>
        <w:suppressAutoHyphens/>
        <w:rPr>
          <w:lang w:val="en-GB"/>
        </w:rPr>
      </w:pPr>
      <w:r w:rsidRPr="001D5FFE">
        <w:rPr>
          <w:lang w:val="en-GB"/>
        </w:rPr>
        <w:t>A report on C&amp;V activities should be included in every quarterly and interim report as well as the final report. This report should contain supporting evidence for the activities implemented, including press clippings, photos, samples of the printed materials, addresses of web pages, social media engagement numbers etc. This will serve as a proof that C&amp;V efforts are an integral part of the project, and they are implemented throughout its duration.</w:t>
      </w:r>
    </w:p>
    <w:p w14:paraId="31294E9D" w14:textId="22379AF8" w:rsidR="00032303" w:rsidRPr="001D5FFE" w:rsidRDefault="00965302">
      <w:pPr>
        <w:pStyle w:val="BodyA"/>
        <w:suppressAutoHyphens/>
        <w:rPr>
          <w:lang w:val="en-GB"/>
        </w:rPr>
      </w:pPr>
      <w:r w:rsidRPr="001D5FFE">
        <w:rPr>
          <w:lang w:val="en-GB"/>
        </w:rPr>
        <w:t>Additionally, the grantee is required to present in quantifiable terms the engagement numbers that support the communication actions and their outreach.</w:t>
      </w:r>
    </w:p>
    <w:p w14:paraId="18B9B681" w14:textId="77777777" w:rsidR="00032303" w:rsidRPr="001D5FFE" w:rsidRDefault="00965302">
      <w:pPr>
        <w:pStyle w:val="BodyA"/>
        <w:suppressAutoHyphens/>
        <w:rPr>
          <w:lang w:val="en-GB"/>
        </w:rPr>
      </w:pPr>
      <w:r w:rsidRPr="001D5FFE">
        <w:rPr>
          <w:lang w:val="en-GB"/>
        </w:rPr>
        <w:t xml:space="preserve">Reports should be in line with the activities stated in the approved C&amp;V plan, while the final report should be fully compliant with the approved C&amp;V plan, </w:t>
      </w:r>
      <w:r w:rsidRPr="001D5FFE">
        <w:rPr>
          <w:rStyle w:val="None"/>
          <w:b/>
          <w:bCs/>
          <w:u w:val="single"/>
          <w:lang w:val="en-GB"/>
        </w:rPr>
        <w:t>and</w:t>
      </w:r>
      <w:r w:rsidRPr="001D5FFE">
        <w:rPr>
          <w:lang w:val="en-GB"/>
        </w:rPr>
        <w:t xml:space="preserve"> with its subsequent modifications and changes agreed by the grantee and the RESEMBID Communications Unit.</w:t>
      </w:r>
    </w:p>
    <w:p w14:paraId="279B21B2" w14:textId="77777777" w:rsidR="00032303" w:rsidRPr="001D5FFE" w:rsidRDefault="00032303">
      <w:pPr>
        <w:pStyle w:val="BodyA"/>
        <w:suppressAutoHyphens/>
        <w:rPr>
          <w:lang w:val="en-GB"/>
        </w:rPr>
      </w:pPr>
    </w:p>
    <w:p w14:paraId="0568714D" w14:textId="77777777" w:rsidR="00032303" w:rsidRPr="001D5FFE" w:rsidRDefault="00965302">
      <w:pPr>
        <w:pStyle w:val="Default"/>
        <w:suppressAutoHyphens/>
        <w:spacing w:line="280" w:lineRule="atLeast"/>
        <w:rPr>
          <w:rStyle w:val="None"/>
          <w:rFonts w:ascii="Arial" w:eastAsia="Arial" w:hAnsi="Arial" w:cs="Arial"/>
          <w:sz w:val="20"/>
          <w:szCs w:val="20"/>
          <w:lang w:val="en-GB"/>
        </w:rPr>
      </w:pPr>
      <w:r w:rsidRPr="001D5FFE">
        <w:rPr>
          <w:rStyle w:val="None"/>
          <w:rFonts w:ascii="Arial" w:hAnsi="Arial" w:cs="Arial"/>
          <w:sz w:val="20"/>
          <w:szCs w:val="20"/>
          <w:lang w:val="en-GB"/>
        </w:rPr>
        <w:t xml:space="preserve">In keeping with best practice accountability guidelines, grantees must read and complete the enclosed reporting templates to report on the status of their C&amp;V activities: </w:t>
      </w:r>
    </w:p>
    <w:p w14:paraId="12CF3CF7" w14:textId="77777777" w:rsidR="00032303" w:rsidRPr="001D5FFE" w:rsidRDefault="00032303">
      <w:pPr>
        <w:pStyle w:val="Default"/>
        <w:suppressAutoHyphens/>
        <w:spacing w:line="280" w:lineRule="atLeast"/>
        <w:rPr>
          <w:rStyle w:val="None"/>
          <w:rFonts w:ascii="Arial" w:eastAsia="Arial" w:hAnsi="Arial" w:cs="Arial"/>
          <w:sz w:val="20"/>
          <w:szCs w:val="20"/>
          <w:lang w:val="en-GB"/>
        </w:rPr>
      </w:pPr>
    </w:p>
    <w:p w14:paraId="336286BB" w14:textId="6F3DC4D1" w:rsidR="00032303" w:rsidRPr="001D5FFE" w:rsidRDefault="00965302">
      <w:pPr>
        <w:pStyle w:val="BodyA"/>
        <w:rPr>
          <w:lang w:val="en-GB"/>
        </w:rPr>
      </w:pPr>
      <w:r w:rsidRPr="001D5FFE">
        <w:rPr>
          <w:rFonts w:eastAsia="Arial Unicode MS"/>
          <w:lang w:val="en-GB"/>
        </w:rPr>
        <w:t>1.  Quarterly MEAL progress report</w:t>
      </w:r>
    </w:p>
    <w:p w14:paraId="65D773D8" w14:textId="32A7ED0C" w:rsidR="00032303" w:rsidRPr="001D5FFE" w:rsidRDefault="00965302">
      <w:pPr>
        <w:pStyle w:val="Title"/>
        <w:rPr>
          <w:rStyle w:val="None"/>
          <w:rFonts w:ascii="Arial" w:eastAsia="Arial" w:hAnsi="Arial" w:cs="Arial"/>
          <w:b w:val="0"/>
          <w:bCs w:val="0"/>
          <w:color w:val="000000"/>
          <w:spacing w:val="0"/>
          <w:kern w:val="0"/>
          <w:sz w:val="20"/>
          <w:szCs w:val="20"/>
          <w:u w:color="000000"/>
          <w:lang w:val="en-GB"/>
        </w:rPr>
      </w:pPr>
      <w:r w:rsidRPr="001D5FFE">
        <w:rPr>
          <w:rStyle w:val="None"/>
          <w:rFonts w:ascii="Arial" w:hAnsi="Arial" w:cs="Arial"/>
          <w:b w:val="0"/>
          <w:bCs w:val="0"/>
          <w:color w:val="000000"/>
          <w:spacing w:val="0"/>
          <w:kern w:val="0"/>
          <w:sz w:val="20"/>
          <w:szCs w:val="20"/>
          <w:u w:color="000000"/>
          <w:lang w:val="en-GB"/>
        </w:rPr>
        <w:t>2. Intermediate narrative and financial report</w:t>
      </w:r>
    </w:p>
    <w:p w14:paraId="1584235A" w14:textId="2FB46F80" w:rsidR="00032303" w:rsidRPr="001D5FFE" w:rsidRDefault="00965302">
      <w:pPr>
        <w:pStyle w:val="BodyA"/>
        <w:rPr>
          <w:lang w:val="en-GB"/>
        </w:rPr>
      </w:pPr>
      <w:r w:rsidRPr="001D5FFE">
        <w:rPr>
          <w:rFonts w:eastAsia="Arial Unicode MS"/>
          <w:lang w:val="en-GB"/>
        </w:rPr>
        <w:t>3. Final narrative and financial report</w:t>
      </w:r>
    </w:p>
    <w:p w14:paraId="094CED2B" w14:textId="77777777" w:rsidR="00032303" w:rsidRPr="001D5FFE" w:rsidRDefault="00032303">
      <w:pPr>
        <w:pStyle w:val="BodyA"/>
        <w:rPr>
          <w:lang w:val="en-GB"/>
        </w:rPr>
      </w:pPr>
    </w:p>
    <w:p w14:paraId="67334A4F" w14:textId="77777777" w:rsidR="00032303" w:rsidRPr="001D5FFE" w:rsidRDefault="00032303">
      <w:pPr>
        <w:pStyle w:val="Default"/>
        <w:rPr>
          <w:rStyle w:val="None"/>
          <w:rFonts w:ascii="Arial" w:eastAsia="Arial" w:hAnsi="Arial" w:cs="Arial"/>
          <w:sz w:val="20"/>
          <w:szCs w:val="20"/>
          <w:lang w:val="en-GB"/>
        </w:rPr>
      </w:pPr>
    </w:p>
    <w:p w14:paraId="35B6A1AD" w14:textId="5C68F0CD" w:rsidR="00032303" w:rsidRPr="001D5FFE" w:rsidRDefault="00965302">
      <w:pPr>
        <w:pStyle w:val="Heading"/>
        <w:suppressAutoHyphens/>
        <w:rPr>
          <w:rFonts w:cs="Arial"/>
          <w:color w:val="002060"/>
          <w:lang w:val="en-GB"/>
        </w:rPr>
      </w:pPr>
      <w:r w:rsidRPr="001D5FFE">
        <w:rPr>
          <w:rFonts w:cs="Arial"/>
          <w:color w:val="002060"/>
          <w:lang w:val="en-GB"/>
        </w:rPr>
        <w:t>Further information</w:t>
      </w:r>
    </w:p>
    <w:p w14:paraId="40EACEFA" w14:textId="77777777" w:rsidR="00464EE9" w:rsidRPr="001D5FFE" w:rsidRDefault="00464EE9" w:rsidP="008F373D">
      <w:pPr>
        <w:pStyle w:val="BodyA"/>
        <w:rPr>
          <w:lang w:val="en-GB"/>
        </w:rPr>
      </w:pPr>
    </w:p>
    <w:p w14:paraId="3A652FAE" w14:textId="77777777" w:rsidR="00032303" w:rsidRPr="001D5FFE" w:rsidRDefault="00965302">
      <w:pPr>
        <w:pStyle w:val="BodyA"/>
        <w:suppressAutoHyphens/>
        <w:rPr>
          <w:lang w:val="en-GB"/>
        </w:rPr>
      </w:pPr>
      <w:r w:rsidRPr="001D5FFE">
        <w:rPr>
          <w:lang w:val="en-GB"/>
        </w:rPr>
        <w:t xml:space="preserve">In keeping with RESEMBID’s OCT-driven, stakeholder centred communication, the Programme’s Communications and Visibility Unit will assist in grantees’ efforts to develop and implement their project C&amp;V activities. </w:t>
      </w:r>
    </w:p>
    <w:p w14:paraId="1F70E78F" w14:textId="77777777" w:rsidR="00464EE9" w:rsidRPr="001D5FFE" w:rsidRDefault="00464EE9">
      <w:pPr>
        <w:pStyle w:val="BodyA"/>
        <w:suppressAutoHyphens/>
        <w:rPr>
          <w:lang w:val="en-GB"/>
        </w:rPr>
      </w:pPr>
    </w:p>
    <w:p w14:paraId="56E30B23" w14:textId="04147248" w:rsidR="00032303" w:rsidRPr="001D5FFE" w:rsidRDefault="00965302">
      <w:pPr>
        <w:pStyle w:val="BodyA"/>
        <w:suppressAutoHyphens/>
        <w:rPr>
          <w:lang w:val="en-GB"/>
        </w:rPr>
      </w:pPr>
      <w:r w:rsidRPr="001D5FFE">
        <w:rPr>
          <w:lang w:val="en-GB"/>
        </w:rPr>
        <w:t>The contact details of the Unit are:</w:t>
      </w:r>
    </w:p>
    <w:p w14:paraId="5F2F3141" w14:textId="77777777" w:rsidR="00032303" w:rsidRPr="001D5FFE" w:rsidRDefault="00032303">
      <w:pPr>
        <w:pStyle w:val="BodyA"/>
        <w:suppressAutoHyphens/>
        <w:rPr>
          <w:lang w:val="en-GB"/>
        </w:rPr>
      </w:pPr>
    </w:p>
    <w:p w14:paraId="308167E6" w14:textId="77777777" w:rsidR="00032303" w:rsidRPr="001D5FFE" w:rsidRDefault="00965302">
      <w:pPr>
        <w:pStyle w:val="BodyA"/>
        <w:suppressAutoHyphens/>
        <w:rPr>
          <w:lang w:val="en-GB"/>
        </w:rPr>
      </w:pPr>
      <w:r w:rsidRPr="001D5FFE">
        <w:rPr>
          <w:lang w:val="en-GB"/>
        </w:rPr>
        <w:t xml:space="preserve">Nyssa Pierre </w:t>
      </w:r>
    </w:p>
    <w:p w14:paraId="6F7BC1DC" w14:textId="77777777" w:rsidR="00032303" w:rsidRPr="001D5FFE" w:rsidRDefault="00965302">
      <w:pPr>
        <w:pStyle w:val="BodyA"/>
        <w:suppressAutoHyphens/>
        <w:rPr>
          <w:lang w:val="en-GB"/>
        </w:rPr>
      </w:pPr>
      <w:r w:rsidRPr="001D5FFE">
        <w:rPr>
          <w:lang w:val="en-GB"/>
        </w:rPr>
        <w:t xml:space="preserve">Manager, Communications and Visibility </w:t>
      </w:r>
    </w:p>
    <w:p w14:paraId="79C916EB" w14:textId="708415AE" w:rsidR="00032303" w:rsidRPr="001D5FFE" w:rsidRDefault="00965302">
      <w:pPr>
        <w:pStyle w:val="BodyA"/>
        <w:suppressAutoHyphens/>
        <w:rPr>
          <w:lang w:val="it-IT"/>
        </w:rPr>
      </w:pPr>
      <w:r w:rsidRPr="001D5FFE">
        <w:rPr>
          <w:lang w:val="it-IT"/>
        </w:rPr>
        <w:t>E-mail:</w:t>
      </w:r>
      <w:r w:rsidR="00D0726D" w:rsidRPr="001D5FFE">
        <w:rPr>
          <w:rStyle w:val="Hyperlink2"/>
          <w:u w:color="000000"/>
          <w:lang w:val="it-IT"/>
        </w:rPr>
        <w:t xml:space="preserve"> </w:t>
      </w:r>
      <w:r w:rsidR="00D0726D" w:rsidRPr="001D5FFE">
        <w:rPr>
          <w:rStyle w:val="Hyperlink2"/>
          <w:color w:val="002060"/>
          <w:u w:color="000000"/>
          <w:lang w:val="it-IT"/>
        </w:rPr>
        <w:t>comms@resembid.org</w:t>
      </w:r>
    </w:p>
    <w:p w14:paraId="32813B45" w14:textId="77777777" w:rsidR="00032303" w:rsidRPr="001D5FFE" w:rsidRDefault="00032303">
      <w:pPr>
        <w:pStyle w:val="BodyA"/>
        <w:suppressAutoHyphens/>
        <w:rPr>
          <w:lang w:val="it-IT"/>
        </w:rPr>
      </w:pPr>
    </w:p>
    <w:p w14:paraId="22CB9053" w14:textId="77777777" w:rsidR="00032303" w:rsidRPr="001D5FFE" w:rsidRDefault="00032303">
      <w:pPr>
        <w:pStyle w:val="BodyA"/>
        <w:suppressAutoHyphens/>
        <w:rPr>
          <w:lang w:val="it-IT"/>
        </w:rPr>
      </w:pPr>
    </w:p>
    <w:p w14:paraId="766C73DA" w14:textId="77777777" w:rsidR="00032303" w:rsidRPr="001D5FFE" w:rsidRDefault="00965302">
      <w:pPr>
        <w:pStyle w:val="Heading"/>
        <w:suppressAutoHyphens/>
        <w:rPr>
          <w:rFonts w:cs="Arial"/>
          <w:color w:val="002060"/>
          <w:lang w:val="it-IT"/>
        </w:rPr>
      </w:pPr>
      <w:proofErr w:type="spellStart"/>
      <w:r w:rsidRPr="001D5FFE">
        <w:rPr>
          <w:rFonts w:cs="Arial"/>
          <w:color w:val="002060"/>
          <w:lang w:val="it-IT"/>
        </w:rPr>
        <w:t>Annexes</w:t>
      </w:r>
      <w:proofErr w:type="spellEnd"/>
    </w:p>
    <w:p w14:paraId="39A558C6" w14:textId="77777777" w:rsidR="00032303" w:rsidRPr="001D5FFE" w:rsidRDefault="00965302">
      <w:pPr>
        <w:pStyle w:val="BodyA"/>
        <w:suppressAutoHyphens/>
        <w:rPr>
          <w:lang w:val="en-GB"/>
        </w:rPr>
      </w:pPr>
      <w:r w:rsidRPr="001D5FFE">
        <w:rPr>
          <w:lang w:val="en-GB"/>
        </w:rPr>
        <w:t>Annex I ‘Communications and Visibility in EU-financed external actions’</w:t>
      </w:r>
    </w:p>
    <w:p w14:paraId="174B7109" w14:textId="23DC84C9" w:rsidR="00032303" w:rsidRPr="001D5FFE" w:rsidRDefault="00965302">
      <w:pPr>
        <w:pStyle w:val="BodyA"/>
        <w:suppressAutoHyphens/>
        <w:rPr>
          <w:lang w:val="en-GB"/>
        </w:rPr>
      </w:pPr>
      <w:r w:rsidRPr="001D5FFE">
        <w:rPr>
          <w:lang w:val="en-GB"/>
        </w:rPr>
        <w:t xml:space="preserve">Annex II Communications, Visibility </w:t>
      </w:r>
      <w:r w:rsidR="00A23FD1" w:rsidRPr="001D5FFE">
        <w:rPr>
          <w:lang w:val="en-GB"/>
        </w:rPr>
        <w:t>and</w:t>
      </w:r>
      <w:r w:rsidRPr="001D5FFE">
        <w:rPr>
          <w:lang w:val="en-GB"/>
        </w:rPr>
        <w:t xml:space="preserve"> Outreach Plan </w:t>
      </w:r>
      <w:r w:rsidR="00464EE9" w:rsidRPr="001D5FFE">
        <w:rPr>
          <w:lang w:val="en-GB"/>
        </w:rPr>
        <w:t>and</w:t>
      </w:r>
      <w:r w:rsidRPr="001D5FFE">
        <w:rPr>
          <w:lang w:val="en-GB"/>
        </w:rPr>
        <w:t xml:space="preserve"> Budget Template</w:t>
      </w:r>
    </w:p>
    <w:p w14:paraId="443C1639" w14:textId="77777777" w:rsidR="00032303" w:rsidRPr="001D5FFE" w:rsidRDefault="00965302">
      <w:pPr>
        <w:pStyle w:val="Default"/>
        <w:suppressAutoHyphens/>
        <w:spacing w:line="280" w:lineRule="atLeast"/>
        <w:rPr>
          <w:rStyle w:val="None"/>
          <w:rFonts w:ascii="Arial" w:eastAsia="Arial" w:hAnsi="Arial" w:cs="Arial"/>
          <w:sz w:val="20"/>
          <w:szCs w:val="20"/>
          <w:lang w:val="en-GB"/>
        </w:rPr>
      </w:pPr>
      <w:r w:rsidRPr="001D5FFE">
        <w:rPr>
          <w:rStyle w:val="None"/>
          <w:rFonts w:ascii="Arial" w:hAnsi="Arial" w:cs="Arial"/>
          <w:sz w:val="20"/>
          <w:szCs w:val="20"/>
          <w:lang w:val="en-GB"/>
        </w:rPr>
        <w:t>Annex III – Quarterly MEAL progress report</w:t>
      </w:r>
    </w:p>
    <w:p w14:paraId="502D6C23" w14:textId="77777777" w:rsidR="00032303" w:rsidRPr="001D5FFE" w:rsidRDefault="00965302">
      <w:pPr>
        <w:pStyle w:val="Default"/>
        <w:suppressAutoHyphens/>
        <w:spacing w:line="280" w:lineRule="atLeast"/>
        <w:rPr>
          <w:rStyle w:val="None"/>
          <w:rFonts w:ascii="Arial" w:eastAsia="Arial" w:hAnsi="Arial" w:cs="Arial"/>
          <w:sz w:val="20"/>
          <w:szCs w:val="20"/>
          <w:lang w:val="en-GB"/>
        </w:rPr>
      </w:pPr>
      <w:r w:rsidRPr="001D5FFE">
        <w:rPr>
          <w:rStyle w:val="None"/>
          <w:rFonts w:ascii="Arial" w:hAnsi="Arial" w:cs="Arial"/>
          <w:sz w:val="20"/>
          <w:szCs w:val="20"/>
          <w:lang w:val="en-GB"/>
        </w:rPr>
        <w:t xml:space="preserve">Annex </w:t>
      </w:r>
      <w:proofErr w:type="gramStart"/>
      <w:r w:rsidRPr="001D5FFE">
        <w:rPr>
          <w:rStyle w:val="None"/>
          <w:rFonts w:ascii="Arial" w:hAnsi="Arial" w:cs="Arial"/>
          <w:sz w:val="20"/>
          <w:szCs w:val="20"/>
          <w:lang w:val="en-GB"/>
        </w:rPr>
        <w:t>IV  -</w:t>
      </w:r>
      <w:proofErr w:type="gramEnd"/>
      <w:r w:rsidRPr="001D5FFE">
        <w:rPr>
          <w:rStyle w:val="None"/>
          <w:rFonts w:ascii="Arial" w:hAnsi="Arial" w:cs="Arial"/>
          <w:sz w:val="20"/>
          <w:szCs w:val="20"/>
          <w:lang w:val="en-GB"/>
        </w:rPr>
        <w:t xml:space="preserve"> Intermediate narrative and financial report </w:t>
      </w:r>
    </w:p>
    <w:p w14:paraId="799A55F9" w14:textId="77777777" w:rsidR="00032303" w:rsidRPr="001D5FFE" w:rsidRDefault="00965302">
      <w:pPr>
        <w:pStyle w:val="Default"/>
        <w:suppressAutoHyphens/>
        <w:spacing w:line="280" w:lineRule="atLeast"/>
        <w:rPr>
          <w:rFonts w:ascii="Arial" w:hAnsi="Arial" w:cs="Arial"/>
          <w:lang w:val="en-GB"/>
        </w:rPr>
      </w:pPr>
      <w:r w:rsidRPr="001D5FFE">
        <w:rPr>
          <w:rStyle w:val="None"/>
          <w:rFonts w:ascii="Arial" w:hAnsi="Arial" w:cs="Arial"/>
          <w:sz w:val="20"/>
          <w:szCs w:val="20"/>
          <w:lang w:val="en-GB"/>
        </w:rPr>
        <w:t xml:space="preserve">Annex V - Final narrative and financial report </w:t>
      </w:r>
    </w:p>
    <w:sectPr w:rsidR="00032303" w:rsidRPr="001D5FFE">
      <w:headerReference w:type="default" r:id="rId12"/>
      <w:footerReference w:type="default" r:id="rId13"/>
      <w:footerReference w:type="first" r:id="rId14"/>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CA32" w14:textId="77777777" w:rsidR="00724439" w:rsidRDefault="00724439">
      <w:r>
        <w:separator/>
      </w:r>
    </w:p>
  </w:endnote>
  <w:endnote w:type="continuationSeparator" w:id="0">
    <w:p w14:paraId="2D443D4E" w14:textId="77777777" w:rsidR="00724439" w:rsidRDefault="0072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2710" w14:textId="28F66613" w:rsidR="00032303" w:rsidRDefault="00E43BD9">
    <w:pPr>
      <w:pStyle w:val="Footer"/>
    </w:pPr>
    <w:r>
      <w:rPr>
        <w:noProof/>
      </w:rPr>
      <w:drawing>
        <wp:inline distT="0" distB="0" distL="0" distR="0" wp14:anchorId="67D2BBBD" wp14:editId="1A793D85">
          <wp:extent cx="5943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9DC3" w14:textId="660B3485" w:rsidR="00E43BD9" w:rsidRDefault="00E43BD9">
    <w:pPr>
      <w:pStyle w:val="Footer"/>
    </w:pPr>
    <w:r>
      <w:rPr>
        <w:noProof/>
      </w:rPr>
      <w:drawing>
        <wp:inline distT="0" distB="0" distL="0" distR="0" wp14:anchorId="522CEAA4" wp14:editId="2032867F">
          <wp:extent cx="59436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20BD" w14:textId="77777777" w:rsidR="00724439" w:rsidRDefault="00724439">
      <w:r>
        <w:separator/>
      </w:r>
    </w:p>
  </w:footnote>
  <w:footnote w:type="continuationSeparator" w:id="0">
    <w:p w14:paraId="26C6D5E5" w14:textId="77777777" w:rsidR="00724439" w:rsidRDefault="00724439">
      <w:r>
        <w:continuationSeparator/>
      </w:r>
    </w:p>
  </w:footnote>
  <w:footnote w:type="continuationNotice" w:id="1">
    <w:p w14:paraId="22671DCD" w14:textId="77777777" w:rsidR="00724439" w:rsidRDefault="00724439"/>
  </w:footnote>
  <w:footnote w:id="2">
    <w:p w14:paraId="72B90E0E" w14:textId="77777777" w:rsidR="00032303" w:rsidRDefault="00965302">
      <w:pPr>
        <w:pStyle w:val="FootnoteText"/>
        <w:rPr>
          <w:rStyle w:val="None"/>
          <w:rFonts w:ascii="Arial" w:eastAsia="Arial" w:hAnsi="Arial" w:cs="Arial"/>
        </w:rPr>
      </w:pPr>
      <w:r>
        <w:rPr>
          <w:rStyle w:val="FootnoteReference"/>
        </w:rPr>
        <w:footnoteRef/>
      </w:r>
      <w:r>
        <w:rPr>
          <w:rStyle w:val="None"/>
          <w:rFonts w:ascii="Arial" w:hAnsi="Arial"/>
        </w:rPr>
        <w:t xml:space="preserve"> As mentioned under C&amp;V budget, the percentage can be increased at the discretion of the </w:t>
      </w:r>
    </w:p>
    <w:p w14:paraId="405D2ACB" w14:textId="2F6BC44B" w:rsidR="00032303" w:rsidRDefault="00965302">
      <w:pPr>
        <w:pStyle w:val="FootnoteText"/>
      </w:pPr>
      <w:r>
        <w:rPr>
          <w:rStyle w:val="None"/>
          <w:rFonts w:ascii="Arial" w:hAnsi="Arial"/>
        </w:rPr>
        <w:t>Communications Manager</w:t>
      </w:r>
      <w:r w:rsidR="00DE0BA3">
        <w:rPr>
          <w:rStyle w:val="None"/>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54922"/>
      <w:docPartObj>
        <w:docPartGallery w:val="Page Numbers (Top of Page)"/>
        <w:docPartUnique/>
      </w:docPartObj>
    </w:sdtPr>
    <w:sdtEndPr>
      <w:rPr>
        <w:noProof/>
      </w:rPr>
    </w:sdtEndPr>
    <w:sdtContent>
      <w:p w14:paraId="54B3E101" w14:textId="0948EF86" w:rsidR="005C6344" w:rsidRDefault="005C63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552DF4" w14:textId="2D313B12" w:rsidR="00032303" w:rsidRPr="00E43BD9" w:rsidRDefault="00032303">
    <w:pPr>
      <w:pStyle w:val="Header"/>
      <w:tabs>
        <w:tab w:val="clear" w:pos="9360"/>
        <w:tab w:val="right" w:pos="9612"/>
      </w:tabs>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F1D"/>
    <w:multiLevelType w:val="hybridMultilevel"/>
    <w:tmpl w:val="F622FB28"/>
    <w:styleLink w:val="ImportedStyle10"/>
    <w:lvl w:ilvl="0" w:tplc="BF105F2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17069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02609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C9CE61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52001A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413888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650E9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DEEA31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913EA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066D2927"/>
    <w:multiLevelType w:val="hybridMultilevel"/>
    <w:tmpl w:val="CF10245E"/>
    <w:numStyleLink w:val="ImportedStyle100"/>
  </w:abstractNum>
  <w:abstractNum w:abstractNumId="2" w15:restartNumberingAfterBreak="0">
    <w:nsid w:val="100F3931"/>
    <w:multiLevelType w:val="hybridMultilevel"/>
    <w:tmpl w:val="A762EA9C"/>
    <w:styleLink w:val="ImportedStyle2"/>
    <w:lvl w:ilvl="0" w:tplc="01DEEA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066B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4EB6A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8BA56">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BC3CB0">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663B4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0AE8E4">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CCEAD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6EC9C6">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56175C"/>
    <w:multiLevelType w:val="hybridMultilevel"/>
    <w:tmpl w:val="96409BDE"/>
    <w:styleLink w:val="Bullets0"/>
    <w:lvl w:ilvl="0" w:tplc="35BA9FA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EA3604">
      <w:start w:val="1"/>
      <w:numFmt w:val="bullet"/>
      <w:lvlText w:val="•"/>
      <w:lvlJc w:val="left"/>
      <w:pPr>
        <w:ind w:left="700" w:hanging="7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BAA064">
      <w:start w:val="1"/>
      <w:numFmt w:val="bullet"/>
      <w:lvlText w:val="•"/>
      <w:lvlJc w:val="left"/>
      <w:pPr>
        <w:ind w:left="1192"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72AF44">
      <w:start w:val="1"/>
      <w:numFmt w:val="bullet"/>
      <w:lvlText w:val="•"/>
      <w:lvlJc w:val="left"/>
      <w:pPr>
        <w:ind w:left="1772"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650DDC6">
      <w:start w:val="1"/>
      <w:numFmt w:val="bullet"/>
      <w:lvlText w:val="•"/>
      <w:lvlJc w:val="left"/>
      <w:pPr>
        <w:ind w:left="2352"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060FBE">
      <w:start w:val="1"/>
      <w:numFmt w:val="bullet"/>
      <w:lvlText w:val="•"/>
      <w:lvlJc w:val="left"/>
      <w:pPr>
        <w:ind w:left="2932"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D6D074">
      <w:start w:val="1"/>
      <w:numFmt w:val="bullet"/>
      <w:lvlText w:val="•"/>
      <w:lvlJc w:val="left"/>
      <w:pPr>
        <w:ind w:left="3512"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874751C">
      <w:start w:val="1"/>
      <w:numFmt w:val="bullet"/>
      <w:lvlText w:val="•"/>
      <w:lvlJc w:val="left"/>
      <w:pPr>
        <w:ind w:left="4092" w:hanging="7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3072F2">
      <w:start w:val="1"/>
      <w:numFmt w:val="bullet"/>
      <w:lvlText w:val="•"/>
      <w:lvlJc w:val="left"/>
      <w:pPr>
        <w:ind w:left="4792"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D97B66"/>
    <w:multiLevelType w:val="hybridMultilevel"/>
    <w:tmpl w:val="7ADCAA7A"/>
    <w:numStyleLink w:val="ImportedStyle3"/>
  </w:abstractNum>
  <w:abstractNum w:abstractNumId="5" w15:restartNumberingAfterBreak="0">
    <w:nsid w:val="1F280361"/>
    <w:multiLevelType w:val="hybridMultilevel"/>
    <w:tmpl w:val="D38AE1AC"/>
    <w:numStyleLink w:val="ImportedStyle1"/>
  </w:abstractNum>
  <w:abstractNum w:abstractNumId="6" w15:restartNumberingAfterBreak="0">
    <w:nsid w:val="259A35D3"/>
    <w:multiLevelType w:val="hybridMultilevel"/>
    <w:tmpl w:val="300249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F0830"/>
    <w:multiLevelType w:val="hybridMultilevel"/>
    <w:tmpl w:val="9580B60A"/>
    <w:lvl w:ilvl="0" w:tplc="FF863EDC">
      <w:numFmt w:val="bullet"/>
      <w:lvlText w:val="•"/>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lang w:val="en-GB" w:eastAsia="en-US" w:bidi="ar-SA"/>
      </w:rPr>
    </w:lvl>
    <w:lvl w:ilvl="1" w:tplc="FFFFFFFF">
      <w:start w:val="1"/>
      <w:numFmt w:val="bullet"/>
      <w:lvlText w:val="•"/>
      <w:lvlJc w:val="left"/>
      <w:pPr>
        <w:ind w:left="700" w:hanging="7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192"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772"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2352"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2932"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512" w:hanging="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4092" w:hanging="7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4792"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765A3E"/>
    <w:multiLevelType w:val="hybridMultilevel"/>
    <w:tmpl w:val="7ADCAA7A"/>
    <w:styleLink w:val="ImportedStyle3"/>
    <w:lvl w:ilvl="0" w:tplc="7CD099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5A7F2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AEB2E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507F2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022E80">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1CF5A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50B07C">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3AE48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1463F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6C5BB9"/>
    <w:multiLevelType w:val="hybridMultilevel"/>
    <w:tmpl w:val="F622FB28"/>
    <w:numStyleLink w:val="ImportedStyle10"/>
  </w:abstractNum>
  <w:abstractNum w:abstractNumId="10" w15:restartNumberingAfterBreak="0">
    <w:nsid w:val="523A43D8"/>
    <w:multiLevelType w:val="hybridMultilevel"/>
    <w:tmpl w:val="96409BDE"/>
    <w:numStyleLink w:val="Bullets0"/>
  </w:abstractNum>
  <w:abstractNum w:abstractNumId="11" w15:restartNumberingAfterBreak="0">
    <w:nsid w:val="530F1CF9"/>
    <w:multiLevelType w:val="hybridMultilevel"/>
    <w:tmpl w:val="BE207586"/>
    <w:numStyleLink w:val="Bullets"/>
  </w:abstractNum>
  <w:abstractNum w:abstractNumId="12" w15:restartNumberingAfterBreak="0">
    <w:nsid w:val="70344186"/>
    <w:multiLevelType w:val="hybridMultilevel"/>
    <w:tmpl w:val="D38AE1AC"/>
    <w:styleLink w:val="ImportedStyle1"/>
    <w:lvl w:ilvl="0" w:tplc="48FA1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F4CFE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A48AA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40B7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AA7C94">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6610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EAA48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DEE85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328306">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A06181"/>
    <w:multiLevelType w:val="hybridMultilevel"/>
    <w:tmpl w:val="BE207586"/>
    <w:styleLink w:val="Bullets"/>
    <w:lvl w:ilvl="0" w:tplc="F71EFFD0">
      <w:start w:val="1"/>
      <w:numFmt w:val="bullet"/>
      <w:lvlText w:val="•"/>
      <w:lvlJc w:val="left"/>
      <w:pPr>
        <w:tabs>
          <w:tab w:val="num" w:pos="878"/>
          <w:tab w:val="left" w:pos="1440"/>
        </w:tabs>
        <w:ind w:left="158" w:firstLine="562"/>
      </w:pPr>
      <w:rPr>
        <w:rFonts w:hAnsi="Arial Unicode MS"/>
        <w:caps w:val="0"/>
        <w:smallCaps w:val="0"/>
        <w:strike w:val="0"/>
        <w:dstrike w:val="0"/>
        <w:outline w:val="0"/>
        <w:emboss w:val="0"/>
        <w:imprint w:val="0"/>
        <w:spacing w:val="0"/>
        <w:w w:val="100"/>
        <w:kern w:val="0"/>
        <w:position w:val="0"/>
        <w:highlight w:val="none"/>
        <w:vertAlign w:val="baseline"/>
      </w:rPr>
    </w:lvl>
    <w:lvl w:ilvl="1" w:tplc="8D56C8A4">
      <w:start w:val="1"/>
      <w:numFmt w:val="bullet"/>
      <w:lvlText w:val="•"/>
      <w:lvlJc w:val="left"/>
      <w:pPr>
        <w:tabs>
          <w:tab w:val="num" w:pos="1478"/>
        </w:tabs>
        <w:ind w:left="758" w:firstLine="562"/>
      </w:pPr>
      <w:rPr>
        <w:rFonts w:hAnsi="Arial Unicode MS"/>
        <w:caps w:val="0"/>
        <w:smallCaps w:val="0"/>
        <w:strike w:val="0"/>
        <w:dstrike w:val="0"/>
        <w:outline w:val="0"/>
        <w:emboss w:val="0"/>
        <w:imprint w:val="0"/>
        <w:spacing w:val="0"/>
        <w:w w:val="100"/>
        <w:kern w:val="0"/>
        <w:position w:val="0"/>
        <w:highlight w:val="none"/>
        <w:vertAlign w:val="baseline"/>
      </w:rPr>
    </w:lvl>
    <w:lvl w:ilvl="2" w:tplc="DC4C079E">
      <w:start w:val="1"/>
      <w:numFmt w:val="bullet"/>
      <w:lvlText w:val="•"/>
      <w:lvlJc w:val="left"/>
      <w:pPr>
        <w:tabs>
          <w:tab w:val="left" w:pos="1440"/>
          <w:tab w:val="num" w:pos="2078"/>
        </w:tabs>
        <w:ind w:left="1358" w:firstLine="562"/>
      </w:pPr>
      <w:rPr>
        <w:rFonts w:hAnsi="Arial Unicode MS"/>
        <w:caps w:val="0"/>
        <w:smallCaps w:val="0"/>
        <w:strike w:val="0"/>
        <w:dstrike w:val="0"/>
        <w:outline w:val="0"/>
        <w:emboss w:val="0"/>
        <w:imprint w:val="0"/>
        <w:spacing w:val="0"/>
        <w:w w:val="100"/>
        <w:kern w:val="0"/>
        <w:position w:val="0"/>
        <w:highlight w:val="none"/>
        <w:vertAlign w:val="baseline"/>
      </w:rPr>
    </w:lvl>
    <w:lvl w:ilvl="3" w:tplc="7A94EEBA">
      <w:start w:val="1"/>
      <w:numFmt w:val="bullet"/>
      <w:lvlText w:val="•"/>
      <w:lvlJc w:val="left"/>
      <w:pPr>
        <w:tabs>
          <w:tab w:val="left" w:pos="1440"/>
          <w:tab w:val="num" w:pos="2678"/>
        </w:tabs>
        <w:ind w:left="1958" w:firstLine="562"/>
      </w:pPr>
      <w:rPr>
        <w:rFonts w:hAnsi="Arial Unicode MS"/>
        <w:caps w:val="0"/>
        <w:smallCaps w:val="0"/>
        <w:strike w:val="0"/>
        <w:dstrike w:val="0"/>
        <w:outline w:val="0"/>
        <w:emboss w:val="0"/>
        <w:imprint w:val="0"/>
        <w:spacing w:val="0"/>
        <w:w w:val="100"/>
        <w:kern w:val="0"/>
        <w:position w:val="0"/>
        <w:highlight w:val="none"/>
        <w:vertAlign w:val="baseline"/>
      </w:rPr>
    </w:lvl>
    <w:lvl w:ilvl="4" w:tplc="0DB4FD1C">
      <w:start w:val="1"/>
      <w:numFmt w:val="bullet"/>
      <w:lvlText w:val="•"/>
      <w:lvlJc w:val="left"/>
      <w:pPr>
        <w:tabs>
          <w:tab w:val="left" w:pos="1440"/>
          <w:tab w:val="num" w:pos="3278"/>
        </w:tabs>
        <w:ind w:left="2558" w:firstLine="562"/>
      </w:pPr>
      <w:rPr>
        <w:rFonts w:hAnsi="Arial Unicode MS"/>
        <w:caps w:val="0"/>
        <w:smallCaps w:val="0"/>
        <w:strike w:val="0"/>
        <w:dstrike w:val="0"/>
        <w:outline w:val="0"/>
        <w:emboss w:val="0"/>
        <w:imprint w:val="0"/>
        <w:spacing w:val="0"/>
        <w:w w:val="100"/>
        <w:kern w:val="0"/>
        <w:position w:val="0"/>
        <w:highlight w:val="none"/>
        <w:vertAlign w:val="baseline"/>
      </w:rPr>
    </w:lvl>
    <w:lvl w:ilvl="5" w:tplc="AC0AB1CC">
      <w:start w:val="1"/>
      <w:numFmt w:val="bullet"/>
      <w:lvlText w:val="•"/>
      <w:lvlJc w:val="left"/>
      <w:pPr>
        <w:tabs>
          <w:tab w:val="left" w:pos="1440"/>
          <w:tab w:val="num" w:pos="3878"/>
        </w:tabs>
        <w:ind w:left="3158" w:firstLine="562"/>
      </w:pPr>
      <w:rPr>
        <w:rFonts w:hAnsi="Arial Unicode MS"/>
        <w:caps w:val="0"/>
        <w:smallCaps w:val="0"/>
        <w:strike w:val="0"/>
        <w:dstrike w:val="0"/>
        <w:outline w:val="0"/>
        <w:emboss w:val="0"/>
        <w:imprint w:val="0"/>
        <w:spacing w:val="0"/>
        <w:w w:val="100"/>
        <w:kern w:val="0"/>
        <w:position w:val="0"/>
        <w:highlight w:val="none"/>
        <w:vertAlign w:val="baseline"/>
      </w:rPr>
    </w:lvl>
    <w:lvl w:ilvl="6" w:tplc="4E4ABB0A">
      <w:start w:val="1"/>
      <w:numFmt w:val="bullet"/>
      <w:lvlText w:val="•"/>
      <w:lvlJc w:val="left"/>
      <w:pPr>
        <w:tabs>
          <w:tab w:val="left" w:pos="1440"/>
          <w:tab w:val="num" w:pos="4478"/>
        </w:tabs>
        <w:ind w:left="3758" w:firstLine="562"/>
      </w:pPr>
      <w:rPr>
        <w:rFonts w:hAnsi="Arial Unicode MS"/>
        <w:caps w:val="0"/>
        <w:smallCaps w:val="0"/>
        <w:strike w:val="0"/>
        <w:dstrike w:val="0"/>
        <w:outline w:val="0"/>
        <w:emboss w:val="0"/>
        <w:imprint w:val="0"/>
        <w:spacing w:val="0"/>
        <w:w w:val="100"/>
        <w:kern w:val="0"/>
        <w:position w:val="0"/>
        <w:highlight w:val="none"/>
        <w:vertAlign w:val="baseline"/>
      </w:rPr>
    </w:lvl>
    <w:lvl w:ilvl="7" w:tplc="F730A286">
      <w:start w:val="1"/>
      <w:numFmt w:val="bullet"/>
      <w:lvlText w:val="•"/>
      <w:lvlJc w:val="left"/>
      <w:pPr>
        <w:tabs>
          <w:tab w:val="left" w:pos="1440"/>
          <w:tab w:val="num" w:pos="5078"/>
        </w:tabs>
        <w:ind w:left="4358" w:firstLine="562"/>
      </w:pPr>
      <w:rPr>
        <w:rFonts w:hAnsi="Arial Unicode MS"/>
        <w:caps w:val="0"/>
        <w:smallCaps w:val="0"/>
        <w:strike w:val="0"/>
        <w:dstrike w:val="0"/>
        <w:outline w:val="0"/>
        <w:emboss w:val="0"/>
        <w:imprint w:val="0"/>
        <w:spacing w:val="0"/>
        <w:w w:val="100"/>
        <w:kern w:val="0"/>
        <w:position w:val="0"/>
        <w:highlight w:val="none"/>
        <w:vertAlign w:val="baseline"/>
      </w:rPr>
    </w:lvl>
    <w:lvl w:ilvl="8" w:tplc="94561E6E">
      <w:start w:val="1"/>
      <w:numFmt w:val="bullet"/>
      <w:lvlText w:val="•"/>
      <w:lvlJc w:val="left"/>
      <w:pPr>
        <w:tabs>
          <w:tab w:val="left" w:pos="1440"/>
          <w:tab w:val="num" w:pos="5678"/>
        </w:tabs>
        <w:ind w:left="4958" w:firstLine="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1511A4"/>
    <w:multiLevelType w:val="hybridMultilevel"/>
    <w:tmpl w:val="CF10245E"/>
    <w:styleLink w:val="ImportedStyle100"/>
    <w:lvl w:ilvl="0" w:tplc="8CF4061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584C9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166D72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1056A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44C3D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E0D49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22712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760EF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184DC1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9B1642"/>
    <w:multiLevelType w:val="hybridMultilevel"/>
    <w:tmpl w:val="A762EA9C"/>
    <w:numStyleLink w:val="ImportedStyle2"/>
  </w:abstractNum>
  <w:num w:numId="1">
    <w:abstractNumId w:val="12"/>
  </w:num>
  <w:num w:numId="2">
    <w:abstractNumId w:val="5"/>
  </w:num>
  <w:num w:numId="3">
    <w:abstractNumId w:val="2"/>
  </w:num>
  <w:num w:numId="4">
    <w:abstractNumId w:val="15"/>
  </w:num>
  <w:num w:numId="5">
    <w:abstractNumId w:val="8"/>
  </w:num>
  <w:num w:numId="6">
    <w:abstractNumId w:val="4"/>
  </w:num>
  <w:num w:numId="7">
    <w:abstractNumId w:val="0"/>
  </w:num>
  <w:num w:numId="8">
    <w:abstractNumId w:val="9"/>
  </w:num>
  <w:num w:numId="9">
    <w:abstractNumId w:val="9"/>
    <w:lvlOverride w:ilvl="0">
      <w:lvl w:ilvl="0" w:tplc="A7EA3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1EE8E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DCA87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F641A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28213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5669F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B4565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58D0B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1E1D8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11"/>
  </w:num>
  <w:num w:numId="12">
    <w:abstractNumId w:val="11"/>
    <w:lvlOverride w:ilvl="0">
      <w:lvl w:ilvl="0" w:tplc="8B2A38E2">
        <w:start w:val="1"/>
        <w:numFmt w:val="bullet"/>
        <w:lvlText w:val="•"/>
        <w:lvlJc w:val="left"/>
        <w:pPr>
          <w:ind w:left="867"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EE3B7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BE842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8F8EE2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FA997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CED08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14D86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3C32A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D8BE9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10"/>
  </w:num>
  <w:num w:numId="15">
    <w:abstractNumId w:val="14"/>
  </w:num>
  <w:num w:numId="16">
    <w:abstractNumId w:val="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03"/>
    <w:rsid w:val="00032303"/>
    <w:rsid w:val="00053F1F"/>
    <w:rsid w:val="0006051E"/>
    <w:rsid w:val="000672D1"/>
    <w:rsid w:val="0007613E"/>
    <w:rsid w:val="000A157A"/>
    <w:rsid w:val="000E55B0"/>
    <w:rsid w:val="0017183F"/>
    <w:rsid w:val="001D0840"/>
    <w:rsid w:val="001D3736"/>
    <w:rsid w:val="001D3CCC"/>
    <w:rsid w:val="001D5FFE"/>
    <w:rsid w:val="00247137"/>
    <w:rsid w:val="0027085A"/>
    <w:rsid w:val="002E3EF7"/>
    <w:rsid w:val="0034474A"/>
    <w:rsid w:val="00345DA9"/>
    <w:rsid w:val="003508AC"/>
    <w:rsid w:val="0036313B"/>
    <w:rsid w:val="003928A5"/>
    <w:rsid w:val="003C092C"/>
    <w:rsid w:val="003D01FC"/>
    <w:rsid w:val="003F1BA6"/>
    <w:rsid w:val="00407741"/>
    <w:rsid w:val="00413E2D"/>
    <w:rsid w:val="00425FD5"/>
    <w:rsid w:val="00444BE7"/>
    <w:rsid w:val="00464EE9"/>
    <w:rsid w:val="004772A1"/>
    <w:rsid w:val="0049164B"/>
    <w:rsid w:val="0054061F"/>
    <w:rsid w:val="005627B7"/>
    <w:rsid w:val="005A21CC"/>
    <w:rsid w:val="005C6344"/>
    <w:rsid w:val="005E0CDB"/>
    <w:rsid w:val="006208EF"/>
    <w:rsid w:val="006225D4"/>
    <w:rsid w:val="0065145B"/>
    <w:rsid w:val="006C7C14"/>
    <w:rsid w:val="006E75D3"/>
    <w:rsid w:val="00721ECD"/>
    <w:rsid w:val="00724439"/>
    <w:rsid w:val="0074104C"/>
    <w:rsid w:val="007A7302"/>
    <w:rsid w:val="007A7B56"/>
    <w:rsid w:val="007E06C2"/>
    <w:rsid w:val="008601CD"/>
    <w:rsid w:val="008973EC"/>
    <w:rsid w:val="008F373D"/>
    <w:rsid w:val="00904B0E"/>
    <w:rsid w:val="009231AB"/>
    <w:rsid w:val="00965302"/>
    <w:rsid w:val="009957BF"/>
    <w:rsid w:val="009D6C01"/>
    <w:rsid w:val="009F4D06"/>
    <w:rsid w:val="00A03400"/>
    <w:rsid w:val="00A23FD1"/>
    <w:rsid w:val="00A37B46"/>
    <w:rsid w:val="00A65396"/>
    <w:rsid w:val="00A8654C"/>
    <w:rsid w:val="00A948CA"/>
    <w:rsid w:val="00AB6A2A"/>
    <w:rsid w:val="00C450C9"/>
    <w:rsid w:val="00C653D2"/>
    <w:rsid w:val="00C8239F"/>
    <w:rsid w:val="00CE3EE5"/>
    <w:rsid w:val="00CF2B3A"/>
    <w:rsid w:val="00D05015"/>
    <w:rsid w:val="00D0726D"/>
    <w:rsid w:val="00D74119"/>
    <w:rsid w:val="00DE0BA3"/>
    <w:rsid w:val="00E43BD9"/>
    <w:rsid w:val="00E50FC0"/>
    <w:rsid w:val="00F050E7"/>
    <w:rsid w:val="00F52E62"/>
    <w:rsid w:val="00FA754E"/>
    <w:rsid w:val="00FC60CB"/>
    <w:rsid w:val="00FD6F85"/>
    <w:rsid w:val="00FE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295C4"/>
  <w15:docId w15:val="{565DF75A-9CED-4B6D-9D39-858EAEE5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bottom w:val="single" w:sz="4" w:space="0" w:color="276E8B"/>
      </w:pBdr>
      <w:tabs>
        <w:tab w:val="center" w:pos="4680"/>
        <w:tab w:val="right" w:pos="9360"/>
      </w:tabs>
      <w:jc w:val="both"/>
    </w:pPr>
    <w:rPr>
      <w:rFonts w:cs="Arial Unicode MS"/>
      <w:color w:val="276E8B"/>
      <w:u w:color="276E8B"/>
    </w:rPr>
  </w:style>
  <w:style w:type="paragraph" w:styleId="Footer">
    <w:name w:val="footer"/>
    <w:pPr>
      <w:tabs>
        <w:tab w:val="center" w:pos="4680"/>
        <w:tab w:val="right" w:pos="9360"/>
      </w:tabs>
      <w:jc w:val="center"/>
    </w:pPr>
    <w:rPr>
      <w:rFonts w:eastAsia="Times New Roman"/>
      <w:color w:val="000000"/>
      <w:u w:color="000000"/>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le">
    <w:name w:val="Title"/>
    <w:next w:val="BodyA"/>
    <w:uiPriority w:val="10"/>
    <w:qFormat/>
    <w:pPr>
      <w:jc w:val="both"/>
    </w:pPr>
    <w:rPr>
      <w:rFonts w:eastAsia="Times New Roman"/>
      <w:b/>
      <w:bCs/>
      <w:color w:val="276E8B"/>
      <w:spacing w:val="-4"/>
      <w:kern w:val="28"/>
      <w:sz w:val="24"/>
      <w:szCs w:val="24"/>
      <w:u w:color="276E8B"/>
    </w:rPr>
  </w:style>
  <w:style w:type="paragraph" w:customStyle="1" w:styleId="BodyA">
    <w:name w:val="Body A"/>
    <w:pPr>
      <w:spacing w:before="60" w:after="60"/>
      <w:jc w:val="both"/>
    </w:pPr>
    <w:rPr>
      <w:rFonts w:ascii="Arial" w:eastAsia="Arial" w:hAnsi="Arial" w:cs="Arial"/>
      <w:color w:val="000000"/>
      <w:u w:color="000000"/>
    </w:rPr>
  </w:style>
  <w:style w:type="paragraph" w:customStyle="1" w:styleId="Heading">
    <w:name w:val="Heading"/>
    <w:next w:val="BodyA"/>
    <w:pPr>
      <w:keepNext/>
      <w:keepLines/>
      <w:spacing w:before="180" w:after="60"/>
      <w:jc w:val="both"/>
      <w:outlineLvl w:val="0"/>
    </w:pPr>
    <w:rPr>
      <w:rFonts w:ascii="Arial" w:hAnsi="Arial" w:cs="Arial Unicode MS"/>
      <w:b/>
      <w:bCs/>
      <w:color w:val="276E8B"/>
      <w:u w:color="276E8B"/>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before="60" w:after="60"/>
      <w:ind w:left="720"/>
      <w:jc w:val="both"/>
    </w:pPr>
    <w:rPr>
      <w:rFonts w:ascii="Arial" w:hAnsi="Arial" w:cs="Arial Unicode MS"/>
      <w:color w:val="000000"/>
      <w:u w:color="000000"/>
    </w:rPr>
  </w:style>
  <w:style w:type="numbering" w:customStyle="1" w:styleId="ImportedStyle10">
    <w:name w:val="Imported Style 1.0"/>
    <w:pPr>
      <w:numPr>
        <w:numId w:val="7"/>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B">
    <w:name w:val="Body B"/>
    <w:rPr>
      <w:rFonts w:cs="Arial Unicode MS"/>
      <w:color w:val="000000"/>
      <w:sz w:val="24"/>
      <w:szCs w:val="24"/>
      <w:u w:color="000000"/>
    </w:rPr>
  </w:style>
  <w:style w:type="numbering" w:customStyle="1" w:styleId="Bullets">
    <w:name w:val="Bullets"/>
    <w:pPr>
      <w:numPr>
        <w:numId w:val="10"/>
      </w:numPr>
    </w:p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Titre2">
    <w:name w:val="Titre 2"/>
    <w:pPr>
      <w:keepNext/>
      <w:keepLines/>
      <w:spacing w:before="40"/>
      <w:jc w:val="both"/>
      <w:outlineLvl w:val="0"/>
    </w:pPr>
    <w:rPr>
      <w:rFonts w:eastAsia="Times New Roman"/>
      <w:b/>
      <w:bCs/>
      <w:color w:val="000000"/>
      <w:sz w:val="28"/>
      <w:szCs w:val="28"/>
      <w:u w:color="000000"/>
    </w:rPr>
  </w:style>
  <w:style w:type="numbering" w:customStyle="1" w:styleId="Bullets0">
    <w:name w:val="Bullets.0"/>
    <w:pPr>
      <w:numPr>
        <w:numId w:val="13"/>
      </w:numPr>
    </w:pPr>
  </w:style>
  <w:style w:type="character" w:customStyle="1" w:styleId="Hyperlink1">
    <w:name w:val="Hyperlink.1"/>
    <w:basedOn w:val="None"/>
    <w:rPr>
      <w:u w:val="single" w:color="6B9F25"/>
    </w:rPr>
  </w:style>
  <w:style w:type="numbering" w:customStyle="1" w:styleId="ImportedStyle100">
    <w:name w:val="Imported Style 1.0.0"/>
    <w:pPr>
      <w:numPr>
        <w:numId w:val="15"/>
      </w:numPr>
    </w:pPr>
  </w:style>
  <w:style w:type="paragraph" w:customStyle="1" w:styleId="BodyC">
    <w:name w:val="Body C"/>
    <w:rPr>
      <w:rFonts w:cs="Arial Unicode MS"/>
      <w:color w:val="000000"/>
      <w:sz w:val="24"/>
      <w:szCs w:val="24"/>
      <w:u w:color="000000"/>
    </w:rPr>
  </w:style>
  <w:style w:type="paragraph" w:customStyle="1" w:styleId="TableStyle2A">
    <w:name w:val="Table Style 2 A"/>
    <w:rPr>
      <w:rFonts w:ascii="Helvetica Neue" w:hAnsi="Helvetica Neue" w:cs="Arial Unicode MS"/>
      <w:color w:val="000000"/>
      <w:u w:color="000000"/>
    </w:rPr>
  </w:style>
  <w:style w:type="character" w:customStyle="1" w:styleId="Hyperlink2">
    <w:name w:val="Hyperlink.2"/>
    <w:basedOn w:val="None"/>
    <w:rPr>
      <w:color w:val="297694"/>
      <w:u w:val="single" w:color="29769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653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0726D"/>
    <w:rPr>
      <w:b/>
      <w:bCs/>
    </w:rPr>
  </w:style>
  <w:style w:type="character" w:customStyle="1" w:styleId="CommentSubjectChar">
    <w:name w:val="Comment Subject Char"/>
    <w:basedOn w:val="CommentTextChar"/>
    <w:link w:val="CommentSubject"/>
    <w:uiPriority w:val="99"/>
    <w:semiHidden/>
    <w:rsid w:val="00D0726D"/>
    <w:rPr>
      <w:b/>
      <w:bCs/>
    </w:rPr>
  </w:style>
  <w:style w:type="paragraph" w:styleId="Revision">
    <w:name w:val="Revision"/>
    <w:hidden/>
    <w:uiPriority w:val="99"/>
    <w:semiHidden/>
    <w:rsid w:val="001D08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erChar">
    <w:name w:val="Header Char"/>
    <w:basedOn w:val="DefaultParagraphFont"/>
    <w:link w:val="Header"/>
    <w:uiPriority w:val="99"/>
    <w:rsid w:val="005C6344"/>
    <w:rPr>
      <w:rFonts w:cs="Arial Unicode MS"/>
      <w:color w:val="276E8B"/>
      <w:u w:color="276E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mbi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eu" TargetMode="External"/><Relationship Id="rId4" Type="http://schemas.openxmlformats.org/officeDocument/2006/relationships/settings" Target="settings.xml"/><Relationship Id="rId9" Type="http://schemas.openxmlformats.org/officeDocument/2006/relationships/hyperlink" Target="https://ec.europa.eu/neighbourhood-enlargement/sites/near/files/visibility_requirements-near_english.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494BA"/>
      </a:accent1>
      <a:accent2>
        <a:srgbClr val="58B6C0"/>
      </a:accent2>
      <a:accent3>
        <a:srgbClr val="75BDA7"/>
      </a:accent3>
      <a:accent4>
        <a:srgbClr val="7A8C8E"/>
      </a:accent4>
      <a:accent5>
        <a:srgbClr val="84ACB6"/>
      </a:accent5>
      <a:accent6>
        <a:srgbClr val="2683C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68D8-616F-4E0D-BC2D-C7E38755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N.Pierre</dc:creator>
  <cp:lastModifiedBy>Nyssa Pierre</cp:lastModifiedBy>
  <cp:revision>3</cp:revision>
  <dcterms:created xsi:type="dcterms:W3CDTF">2022-03-14T18:47:00Z</dcterms:created>
  <dcterms:modified xsi:type="dcterms:W3CDTF">2022-03-14T19:23:00Z</dcterms:modified>
</cp:coreProperties>
</file>